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rFonts w:ascii="Merriweather" w:cs="Merriweather" w:eastAsia="Merriweather" w:hAnsi="Merriweather"/>
          <w:sz w:val="32"/>
          <w:szCs w:val="32"/>
        </w:rPr>
      </w:pPr>
      <w:bookmarkStart w:colFirst="0" w:colLast="0" w:name="_f8z358v21an1" w:id="0"/>
      <w:bookmarkEnd w:id="0"/>
      <w:r w:rsidDel="00000000" w:rsidR="00000000" w:rsidRPr="00000000">
        <w:rPr>
          <w:rFonts w:ascii="Merriweather" w:cs="Merriweather" w:eastAsia="Merriweather" w:hAnsi="Merriweather"/>
          <w:sz w:val="32"/>
          <w:szCs w:val="32"/>
          <w:rtl w:val="0"/>
        </w:rPr>
        <w:t xml:space="preserve">Part 1: </w:t>
      </w:r>
      <w:r w:rsidDel="00000000" w:rsidR="00000000" w:rsidRPr="00000000">
        <w:rPr>
          <w:sz w:val="32"/>
          <w:szCs w:val="32"/>
          <w:rtl w:val="0"/>
        </w:rPr>
        <w:t xml:space="preserve">Relevant Article Summaries</w:t>
      </w:r>
      <w:r w:rsidDel="00000000" w:rsidR="00000000" w:rsidRPr="00000000">
        <w:rPr>
          <w:rtl w:val="0"/>
        </w:rPr>
      </w:r>
    </w:p>
    <w:p w:rsidR="00000000" w:rsidDel="00000000" w:rsidP="00000000" w:rsidRDefault="00000000" w:rsidRPr="00000000" w14:paraId="00000002">
      <w:pPr>
        <w:pStyle w:val="Heading4"/>
        <w:numPr>
          <w:ilvl w:val="0"/>
          <w:numId w:val="2"/>
        </w:numPr>
        <w:ind w:left="720" w:hanging="360"/>
        <w:rPr>
          <w:sz w:val="22"/>
          <w:szCs w:val="22"/>
        </w:rPr>
      </w:pPr>
      <w:bookmarkStart w:colFirst="0" w:colLast="0" w:name="_6hin1cioqig" w:id="1"/>
      <w:bookmarkEnd w:id="1"/>
      <w:r w:rsidDel="00000000" w:rsidR="00000000" w:rsidRPr="00000000">
        <w:rPr>
          <w:sz w:val="22"/>
          <w:szCs w:val="22"/>
          <w:rtl w:val="0"/>
        </w:rPr>
        <w:t xml:space="preserve">Kim, N., Ma, J., Kim, W., Kim, J., Belenky, P., &amp; Lee, I. (2024). Genome-resolved metagenomics: A game changer for microbiome medicine. </w:t>
      </w:r>
      <w:r w:rsidDel="00000000" w:rsidR="00000000" w:rsidRPr="00000000">
        <w:rPr>
          <w:i w:val="1"/>
          <w:iCs w:val="1"/>
          <w:sz w:val="22"/>
          <w:szCs w:val="22"/>
          <w:rtl w:val="0"/>
        </w:rPr>
        <w:t xml:space="preserve">Experimental Molecular Medicine</w:t>
      </w:r>
      <w:r w:rsidDel="00000000" w:rsidR="00000000" w:rsidRPr="00000000">
        <w:rPr>
          <w:sz w:val="22"/>
          <w:szCs w:val="22"/>
          <w:rtl w:val="0"/>
        </w:rPr>
        <w:t xml:space="preserve">, </w:t>
      </w:r>
      <w:r w:rsidDel="00000000" w:rsidR="00000000" w:rsidRPr="00000000">
        <w:rPr>
          <w:i w:val="1"/>
          <w:iCs w:val="1"/>
          <w:sz w:val="22"/>
          <w:szCs w:val="22"/>
          <w:rtl w:val="0"/>
        </w:rPr>
        <w:t xml:space="preserve">56</w:t>
      </w:r>
      <w:r w:rsidDel="00000000" w:rsidR="00000000" w:rsidRPr="00000000">
        <w:rPr>
          <w:sz w:val="22"/>
          <w:szCs w:val="22"/>
          <w:rtl w:val="0"/>
        </w:rPr>
        <w:t xml:space="preserve">(7), 1501–1512. </w:t>
      </w:r>
      <w:hyperlink r:id="rId6">
        <w:r w:rsidDel="00000000" w:rsidR="00000000" w:rsidRPr="00000000">
          <w:rPr>
            <w:color w:val="1155cc"/>
            <w:sz w:val="22"/>
            <w:szCs w:val="22"/>
            <w:u w:val="single"/>
            <w:rtl w:val="0"/>
          </w:rPr>
          <w:t xml:space="preserve">https://doi.org/10.1038/s12276-024-01262-7</w:t>
        </w:r>
      </w:hyperlink>
      <w:r w:rsidDel="00000000" w:rsidR="00000000" w:rsidRPr="00000000">
        <w:rPr>
          <w:sz w:val="22"/>
          <w:szCs w:val="22"/>
          <w:rtl w:val="0"/>
        </w:rPr>
        <w:t xml:space="preserve"> </w:t>
      </w:r>
    </w:p>
    <w:p w:rsidR="00000000" w:rsidDel="00000000" w:rsidP="00000000" w:rsidRDefault="00000000" w:rsidRPr="00000000" w14:paraId="00000003">
      <w:pPr>
        <w:ind w:left="720" w:firstLine="720"/>
        <w:rPr/>
      </w:pPr>
      <w:r w:rsidDel="00000000" w:rsidR="00000000" w:rsidRPr="00000000">
        <w:rPr>
          <w:rtl w:val="0"/>
        </w:rPr>
        <w:t xml:space="preserve">Kim et al. (2024) provides an in-depth overview of the state of human microbiome metagenomics, particularly genome-resolved and metagenomic-assembled genomes (MAGs). The authors begin with the foundations of this research, 16S sequencing, and the limitations that this type of analysis comes with (Kim et al. 2024). Many of these issues can be resolved with the new paradigm of whole genome sequencing (WGS) and shotgun whole metagenomic sequencing (WMS). With an in depth explanation of how WMS and MAGs work, this paper provides essential </w:t>
      </w:r>
      <w:r w:rsidDel="00000000" w:rsidR="00000000" w:rsidRPr="00000000">
        <w:rPr>
          <w:rtl w:val="0"/>
        </w:rPr>
        <w:t xml:space="preserve">knowledge</w:t>
      </w:r>
      <w:r w:rsidDel="00000000" w:rsidR="00000000" w:rsidRPr="00000000">
        <w:rPr>
          <w:rtl w:val="0"/>
        </w:rPr>
        <w:t xml:space="preserve"> of the state of metagenomics as a whole. Kim et al. (2024) petitions for the progression into a form of personalized medicine based on an individual’s microbiome, utilizing WMS and MAGs as a framework for studying things like human diseases, metabolomic pathways, and antimicrobial resistance and peptides. </w:t>
      </w:r>
    </w:p>
    <w:p w:rsidR="00000000" w:rsidDel="00000000" w:rsidP="00000000" w:rsidRDefault="00000000" w:rsidRPr="00000000" w14:paraId="00000004">
      <w:pPr>
        <w:ind w:left="720" w:firstLine="720"/>
        <w:rPr/>
      </w:pPr>
      <w:r w:rsidDel="00000000" w:rsidR="00000000" w:rsidRPr="00000000">
        <w:rPr>
          <w:rtl w:val="0"/>
        </w:rPr>
        <w:t xml:space="preserve">This paper provides a wealth of knowledge and background information to guide our research. With a foundational understanding of MAGs and</w:t>
      </w:r>
      <w:r w:rsidDel="00000000" w:rsidR="00000000" w:rsidRPr="00000000">
        <w:rPr>
          <w:rtl w:val="0"/>
        </w:rPr>
        <w:t xml:space="preserve"> an extensive list of tools and databases found throughout the paper, we will be able to easily find related resources for use in our project.</w:t>
      </w:r>
      <w:r w:rsidDel="00000000" w:rsidR="00000000" w:rsidRPr="00000000">
        <w:rPr>
          <w:rtl w:val="0"/>
        </w:rPr>
        <w:t xml:space="preserve"> Several important questions and topics came forward while reading this paper, which will guide further reading and research into the topic. Some of such topics include the Minimum Information about a Metagenome-Assembled Genome (MIMAG) standard, microbial dark matter, miscellaneous and specific tools/toolkits, antimicrobial peptides, the Unified Human Gastrointestinal Genome (UHGG), and more. </w:t>
      </w:r>
      <w:r w:rsidDel="00000000" w:rsidR="00000000" w:rsidRPr="00000000">
        <w:rPr>
          <w:rtl w:val="0"/>
        </w:rPr>
      </w:r>
    </w:p>
    <w:p w:rsidR="00000000" w:rsidDel="00000000" w:rsidP="00000000" w:rsidRDefault="00000000" w:rsidRPr="00000000" w14:paraId="00000005">
      <w:pPr>
        <w:pStyle w:val="Heading4"/>
        <w:numPr>
          <w:ilvl w:val="0"/>
          <w:numId w:val="2"/>
        </w:numPr>
        <w:ind w:left="720" w:hanging="360"/>
        <w:rPr/>
      </w:pPr>
      <w:bookmarkStart w:colFirst="0" w:colLast="0" w:name="_g0f9byyso75n" w:id="2"/>
      <w:bookmarkEnd w:id="2"/>
      <w:r w:rsidDel="00000000" w:rsidR="00000000" w:rsidRPr="00000000">
        <w:rPr>
          <w:rtl w:val="0"/>
        </w:rPr>
        <w:t xml:space="preserve">Manghi, P., Antonello, G., Schiffer, L., Golzato, D., Wokaty, A., Beghini, F., Mirzayi, C., Long, K., Gravel-Pucillo, K., Piccinno, G., Gamboa-Tuz, S. D., Bonetti, A., D’Amato, G., Azhar, R., Eckenrode, K., Zohra, F., Giunchiglia, V., Keller, M., Pedrotti, A., … Waldron, L. (2025). Meta-analysis of 22,710 human microbiome metagenomes defines an oral-to-gut microbial enrichment score and associations with host health and disease. </w:t>
      </w:r>
      <w:r w:rsidDel="00000000" w:rsidR="00000000" w:rsidRPr="00000000">
        <w:rPr>
          <w:i w:val="1"/>
          <w:iCs w:val="1"/>
          <w:rtl w:val="0"/>
        </w:rPr>
        <w:t xml:space="preserve">Nature Communications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(1). </w:t>
      </w:r>
      <w:hyperlink r:id="rId7">
        <w:r w:rsidDel="00000000" w:rsidR="00000000" w:rsidRPr="00000000">
          <w:rPr>
            <w:color w:val="1155cc"/>
            <w:u w:val="single"/>
            <w:rtl w:val="0"/>
          </w:rPr>
          <w:t xml:space="preserve">https://doi.org/10.1038/s41467-025-66888-1</w:t>
        </w:r>
      </w:hyperlink>
      <w:r w:rsidDel="00000000" w:rsidR="00000000" w:rsidRPr="00000000">
        <w:rPr>
          <w:rtl w:val="0"/>
        </w:rPr>
        <w:t xml:space="preserve"> </w:t>
      </w:r>
    </w:p>
    <w:p w:rsidR="00000000" w:rsidDel="00000000" w:rsidP="00000000" w:rsidRDefault="00000000" w:rsidRPr="00000000" w14:paraId="00000006">
      <w:pPr>
        <w:ind w:left="720" w:firstLine="720"/>
        <w:rPr/>
      </w:pPr>
      <w:r w:rsidDel="00000000" w:rsidR="00000000" w:rsidRPr="00000000">
        <w:rPr>
          <w:rtl w:val="0"/>
        </w:rPr>
        <w:t xml:space="preserve">Manghi et al. (2026) overviews their most recent version of a database available through BioConductor in R called curatedMetagenomicData version 3 (cMD3). There</w:t>
      </w:r>
      <w:r w:rsidDel="00000000" w:rsidR="00000000" w:rsidRPr="00000000">
        <w:rPr>
          <w:rtl w:val="0"/>
        </w:rPr>
        <w:t xml:space="preserve"> is</w:t>
      </w:r>
      <w:r w:rsidDel="00000000" w:rsidR="00000000" w:rsidRPr="00000000">
        <w:rPr>
          <w:rtl w:val="0"/>
        </w:rPr>
        <w:t xml:space="preserve"> an initial investigational data analysis conducted on this dataset of over 22 thousand human microbiome metagenomes, namely relationships between the various microbiomes and age, sex, BMI, and disease state (Manghi et al., 2026). The authors’ intentions were to generate a standardized dataset with manually curated metadata to further “support future epidemiological studies of the human microbiome” (Manghi et al. 2026, pg. 2). They also provide extensive methods sections on the dataset curation, initial investigations/machine learning algorithms, and further resources such as the R vignettes and Jupyter Notebooks for repeating the analysis.</w:t>
      </w:r>
    </w:p>
    <w:p w:rsidR="00000000" w:rsidDel="00000000" w:rsidP="00000000" w:rsidRDefault="00000000" w:rsidRPr="00000000" w14:paraId="00000007">
      <w:pPr>
        <w:ind w:left="720" w:firstLine="0"/>
        <w:rPr/>
      </w:pPr>
      <w:r w:rsidDel="00000000" w:rsidR="00000000" w:rsidRPr="00000000">
        <w:rPr>
          <w:rtl w:val="0"/>
        </w:rPr>
        <w:t xml:space="preserve"> </w:t>
        <w:tab/>
        <w:t xml:space="preserve">Our project will greatly benefit from the resources provided in this article. </w:t>
      </w:r>
      <w:r w:rsidDel="00000000" w:rsidR="00000000" w:rsidRPr="00000000">
        <w:rPr>
          <w:rtl w:val="0"/>
        </w:rPr>
        <w:t xml:space="preserve">Access to this curated dataset with included instructions on how to integrate further entries will ensure that all data used in the project is standardized to the same quality</w:t>
      </w:r>
      <w:r w:rsidDel="00000000" w:rsidR="00000000" w:rsidRPr="00000000">
        <w:rPr>
          <w:rtl w:val="0"/>
        </w:rPr>
        <w:t xml:space="preserve">. With this being an incredibly new release of curated data, our project will be on the cutting edge of progress in this field, with a vast amount of metadata to inform our model. Manghi et al.’s (2026) results show precedent for the value of the work we will be doing with metagenomic data from the human microbiome. </w:t>
      </w:r>
    </w:p>
    <w:p w:rsidR="00000000" w:rsidDel="00000000" w:rsidP="00000000" w:rsidRDefault="00000000" w:rsidRPr="00000000" w14:paraId="00000008">
      <w:pPr>
        <w:pStyle w:val="Heading1"/>
        <w:spacing w:before="200" w:lineRule="auto"/>
        <w:rPr>
          <w:rFonts w:ascii="Merriweather" w:cs="Merriweather" w:eastAsia="Merriweather" w:hAnsi="Merriweather"/>
          <w:sz w:val="36"/>
          <w:szCs w:val="36"/>
        </w:rPr>
      </w:pPr>
      <w:bookmarkStart w:colFirst="0" w:colLast="0" w:name="_g1h0igme6lj2" w:id="3"/>
      <w:bookmarkEnd w:id="3"/>
      <w:r w:rsidDel="00000000" w:rsidR="00000000" w:rsidRPr="00000000">
        <w:rPr>
          <w:rFonts w:ascii="Merriweather" w:cs="Merriweather" w:eastAsia="Merriweather" w:hAnsi="Merriweather"/>
          <w:sz w:val="36"/>
          <w:szCs w:val="36"/>
          <w:rtl w:val="0"/>
        </w:rPr>
        <w:t xml:space="preserve">Part 2: Project Summary</w:t>
      </w:r>
    </w:p>
    <w:p w:rsidR="00000000" w:rsidDel="00000000" w:rsidP="00000000" w:rsidRDefault="00000000" w:rsidRPr="00000000" w14:paraId="00000009">
      <w:pPr>
        <w:rPr/>
      </w:pPr>
      <w:r w:rsidDel="00000000" w:rsidR="00000000" w:rsidRPr="00000000">
        <w:rPr>
          <w:rtl w:val="0"/>
        </w:rPr>
        <w:tab/>
        <w:t xml:space="preserve">Through metagenomic analysis, we are targeting potential clinical applications via the human microbiome. With two potential options, we will choose a single topic upon further research. First, investigating the predictive value of a microbiome “fingerprint” to particular diseases, with the development of a proof-of concept clinical tool to aid in differential diagnoses. Second, investigating the effects of antibiotic exposure on the human microbiome to identify candidate resistance pathways and metabolic vulnerabilities. </w:t>
      </w:r>
      <w:r w:rsidDel="00000000" w:rsidR="00000000" w:rsidRPr="00000000">
        <w:rPr>
          <w:rtl w:val="0"/>
        </w:rPr>
      </w:r>
    </w:p>
    <w:p w:rsidR="00000000" w:rsidDel="00000000" w:rsidP="00000000" w:rsidRDefault="00000000" w:rsidRPr="00000000" w14:paraId="0000000A">
      <w:pPr>
        <w:pStyle w:val="Heading1"/>
        <w:rPr>
          <w:rFonts w:ascii="Merriweather" w:cs="Merriweather" w:eastAsia="Merriweather" w:hAnsi="Merriweather"/>
          <w:sz w:val="36"/>
          <w:szCs w:val="36"/>
        </w:rPr>
      </w:pPr>
      <w:bookmarkStart w:colFirst="0" w:colLast="0" w:name="_3g3c9abkzu3t" w:id="4"/>
      <w:bookmarkEnd w:id="4"/>
      <w:r w:rsidDel="00000000" w:rsidR="00000000" w:rsidRPr="00000000">
        <w:rPr>
          <w:rFonts w:ascii="Merriweather" w:cs="Merriweather" w:eastAsia="Merriweather" w:hAnsi="Merriweather"/>
          <w:sz w:val="36"/>
          <w:szCs w:val="36"/>
          <w:rtl w:val="0"/>
        </w:rPr>
        <w:t xml:space="preserve">Part 3: Project Guiding Questions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When generating a fingerprint of a disease or resistance candidate, is it more beneficial to model based on taxonomy, metabolic functionality, or a combination of the two? </w:t>
      </w:r>
      <w:r w:rsidDel="00000000" w:rsidR="00000000" w:rsidRPr="00000000">
        <w:rPr>
          <w:rtl w:val="0"/>
        </w:rPr>
        <w:t xml:space="preserve">If a combination is more predictive than using either metric alone</w:t>
      </w:r>
      <w:r w:rsidDel="00000000" w:rsidR="00000000" w:rsidRPr="00000000">
        <w:rPr>
          <w:rtl w:val="0"/>
        </w:rPr>
        <w:t xml:space="preserve">, what weighting should be applied to taxonomy versus functionality for model optimization?</w:t>
      </w: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Will the model change significantly in accuracy if taking into account geography and family units? cMD3 contains information about geography and even to the resolution of family units (Manghi et al. 2026). Should only one reading of these family units be applied to the model to avoid pseudoreplication, or is this concern not applicable here?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How important is microbial dark matter to a disease fingerprint or resistance candidate? Would it be beneficial to generate a “dark matter score” and include it as a metric? For example, if </w:t>
      </w:r>
      <w:r w:rsidDel="00000000" w:rsidR="00000000" w:rsidRPr="00000000">
        <w:rPr>
          <w:i w:val="1"/>
          <w:iCs w:val="1"/>
          <w:rtl w:val="0"/>
        </w:rPr>
        <w:t xml:space="preserve">X</w:t>
      </w:r>
      <w:r w:rsidDel="00000000" w:rsidR="00000000" w:rsidRPr="00000000">
        <w:rPr>
          <w:rtl w:val="0"/>
        </w:rPr>
        <w:t xml:space="preserve">% of the metagenome is composed of microbial dark matter, is it more indicative of a health-state or disease-state, or are these microbes more likely to exhibit antimicrobial properties?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According to Kim et al. (2024), “fecal metagenomes of children under three years old has revealed many new microbial species” (pg. 1506). This suggests that there are species that do not survive as the host ages. Would a “child microbe prevalence” score be indicative of a disease-state, or exhibit lower/higher microbial resistance properties/proteins? Could focusing on this age group in a longitudinal study reveal information regarding the progression of diseases? The cMD3 contains longitudinal information that, if containing infants and young children, could be helpful for this type of analysis (Manghi et al. 2026).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Can microbial dependencies influence fingerprinting accuracy or microbial resistances? Kim et al. (2024) discusses the metabolic dependence of some species on others. Would it be better to model these species together as a pair rather than an individual in the microbiome, since they then are not independent variables, or is there a better way to handle this dependency?</w:t>
      </w:r>
      <w:r w:rsidDel="00000000" w:rsidR="00000000" w:rsidRPr="00000000">
        <w:rPr>
          <w:rtl w:val="0"/>
        </w:rPr>
      </w:r>
    </w:p>
    <w:p w:rsidR="00000000" w:rsidDel="00000000" w:rsidP="00000000" w:rsidRDefault="00000000" w:rsidRPr="00000000" w14:paraId="00000010">
      <w:pPr>
        <w:pStyle w:val="Heading3"/>
        <w:rPr>
          <w:rFonts w:ascii="Merriweather" w:cs="Merriweather" w:eastAsia="Merriweather" w:hAnsi="Merriweather"/>
          <w:highlight w:val="yellow"/>
        </w:rPr>
      </w:pPr>
      <w:bookmarkStart w:colFirst="0" w:colLast="0" w:name="_3b0r65tltsz9" w:id="5"/>
      <w:bookmarkEnd w:id="5"/>
      <w:r w:rsidDel="00000000" w:rsidR="00000000" w:rsidRPr="00000000">
        <w:rPr>
          <w:rFonts w:ascii="Merriweather" w:cs="Merriweather" w:eastAsia="Merriweather" w:hAnsi="Merriweather"/>
          <w:u w:val="single"/>
          <w:rtl w:val="0"/>
        </w:rPr>
        <w:t xml:space="preserve">References</w:t>
      </w:r>
      <w:r w:rsidDel="00000000" w:rsidR="00000000" w:rsidRPr="00000000">
        <w:rPr>
          <w:rFonts w:ascii="Merriweather" w:cs="Merriweather" w:eastAsia="Merriweather" w:hAnsi="Merriweather"/>
          <w:rtl w:val="0"/>
        </w:rPr>
        <w:t xml:space="preserv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Kim, N., Ma, J., Kim, W., Kim, J., Belenky, P., &amp; Lee, I. (2024). Genome-resolved metagenomics: A game changer for microbiome medicine. </w:t>
      </w:r>
      <w:r w:rsidDel="00000000" w:rsidR="00000000" w:rsidRPr="00000000">
        <w:rPr>
          <w:i w:val="1"/>
          <w:iCs w:val="1"/>
          <w:rtl w:val="0"/>
        </w:rPr>
        <w:t xml:space="preserve">Experimental Molecular Medicine</w:t>
      </w:r>
      <w:r w:rsidDel="00000000" w:rsidR="00000000" w:rsidRPr="00000000">
        <w:rPr>
          <w:rtl w:val="0"/>
        </w:rPr>
        <w:t xml:space="preserve">, </w:t>
      </w:r>
      <w:r w:rsidDel="00000000" w:rsidR="00000000" w:rsidRPr="00000000">
        <w:rPr>
          <w:i w:val="1"/>
          <w:iCs w:val="1"/>
          <w:rtl w:val="0"/>
        </w:rPr>
        <w:t xml:space="preserve">56</w:t>
      </w:r>
      <w:r w:rsidDel="00000000" w:rsidR="00000000" w:rsidRPr="00000000">
        <w:rPr>
          <w:rtl w:val="0"/>
        </w:rPr>
        <w:t xml:space="preserve">(7), 1501–1512. </w:t>
      </w:r>
      <w:hyperlink r:id="rId8">
        <w:r w:rsidDel="00000000" w:rsidR="00000000" w:rsidRPr="00000000">
          <w:rPr>
            <w:color w:val="1155cc"/>
            <w:u w:val="single"/>
            <w:rtl w:val="0"/>
          </w:rPr>
          <w:t xml:space="preserve">https://doi.org/10.1038/s12276-024-01262-7</w:t>
        </w:r>
      </w:hyperlink>
      <w:r w:rsidDel="00000000" w:rsidR="00000000" w:rsidRPr="00000000">
        <w:rPr>
          <w:rtl w:val="0"/>
        </w:rPr>
        <w:t xml:space="preserve">  </w:t>
      </w:r>
    </w:p>
    <w:p w:rsidR="00000000" w:rsidDel="00000000" w:rsidP="00000000" w:rsidRDefault="00000000" w:rsidRPr="00000000" w14:paraId="00000012">
      <w:pPr>
        <w:spacing w:before="200" w:lineRule="auto"/>
        <w:rPr/>
      </w:pPr>
      <w:r w:rsidDel="00000000" w:rsidR="00000000" w:rsidRPr="00000000">
        <w:rPr>
          <w:rtl w:val="0"/>
        </w:rPr>
        <w:t xml:space="preserve">Manghi, P., Antonello, G., Schiffer, L., Golzato, D., Wokaty, A., Beghini, F., Mirzayi, C., Long, K., Gravel-Pucillo, K., Piccinno, G., Gamboa-Tuz, S. D., Bonetti, A., D’Amato, G., Azhar, R., Eckenrode, K., Zohra, F., Giunchiglia, V., Keller, M., Pedrotti, A., … Waldron, L. (2025). Meta-analysis of 22,710 human microbiome metagenomes defines an oral-to-gut microbial enrichment score and associations with host health and disease.</w:t>
      </w:r>
      <w:r w:rsidDel="00000000" w:rsidR="00000000" w:rsidRPr="00000000">
        <w:rPr>
          <w:i w:val="1"/>
          <w:iCs w:val="1"/>
          <w:rtl w:val="0"/>
        </w:rPr>
        <w:t xml:space="preserve"> Nature Communications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(1). </w:t>
      </w:r>
      <w:hyperlink r:id="rId9">
        <w:r w:rsidDel="00000000" w:rsidR="00000000" w:rsidRPr="00000000">
          <w:rPr>
            <w:color w:val="1155cc"/>
            <w:u w:val="single"/>
            <w:rtl w:val="0"/>
          </w:rPr>
          <w:t xml:space="preserve">https://doi.org/10.1038/s41467-025-66888-1</w:t>
        </w:r>
      </w:hyperlink>
      <w:r w:rsidDel="00000000" w:rsidR="00000000" w:rsidRPr="00000000">
        <w:rPr>
          <w:rtl w:val="0"/>
        </w:rPr>
        <w:t xml:space="preserve"> </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Style w:val="Title"/>
      <w:rPr>
        <w:sz w:val="42"/>
        <w:szCs w:val="42"/>
      </w:rPr>
    </w:pPr>
    <w:bookmarkStart w:colFirst="0" w:colLast="0" w:name="_nfn2ox9gnnqj" w:id="6"/>
    <w:bookmarkEnd w:id="6"/>
    <w:r w:rsidDel="00000000" w:rsidR="00000000" w:rsidRPr="00000000">
      <w:rPr>
        <w:sz w:val="42"/>
        <w:szCs w:val="42"/>
        <w:rtl w:val="0"/>
      </w:rPr>
      <w:t xml:space="preserve">Project Statement Initial Draft (Individual)</w:t>
    </w:r>
  </w:p>
  <w:p w:rsidR="00000000" w:rsidDel="00000000" w:rsidP="00000000" w:rsidRDefault="00000000" w:rsidRPr="00000000" w14:paraId="00000014">
    <w:pPr>
      <w:pStyle w:val="Subtitle"/>
      <w:spacing w:after="200" w:lineRule="auto"/>
      <w:rPr>
        <w:sz w:val="22"/>
        <w:szCs w:val="22"/>
      </w:rPr>
    </w:pPr>
    <w:bookmarkStart w:colFirst="0" w:colLast="0" w:name="_bf1plww6ckje" w:id="7"/>
    <w:bookmarkEnd w:id="7"/>
    <w:r w:rsidDel="00000000" w:rsidR="00000000" w:rsidRPr="00000000">
      <w:rPr>
        <w:sz w:val="22"/>
        <w:szCs w:val="22"/>
        <w:rtl w:val="0"/>
      </w:rPr>
      <w:t xml:space="preserve">Author: Kaitlyn Schisler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Merriweather" w:cs="Merriweather" w:eastAsia="Merriweather" w:hAnsi="Merriweather"/>
      <w:color w:val="434343"/>
      <w:sz w:val="28"/>
      <w:szCs w:val="28"/>
    </w:rPr>
  </w:style>
  <w:style w:type="paragraph" w:styleId="Heading4">
    <w:name w:val="heading 4"/>
    <w:basedOn w:val="Normal"/>
    <w:next w:val="Normal"/>
    <w:pPr>
      <w:keepNext w:val="1"/>
      <w:keepLines w:val="1"/>
      <w:spacing w:after="80" w:before="280" w:lineRule="auto"/>
      <w:ind w:left="720" w:hanging="360"/>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46"/>
      <w:szCs w:val="46"/>
    </w:rPr>
  </w:style>
  <w:style w:type="paragraph" w:styleId="Subtitle">
    <w:name w:val="Subtitle"/>
    <w:basedOn w:val="Normal"/>
    <w:next w:val="Normal"/>
    <w:pPr>
      <w:keepNext w:val="1"/>
      <w:keepLines w:val="1"/>
      <w:spacing w:after="320" w:lineRule="auto"/>
    </w:pPr>
    <w:rPr>
      <w:rFonts w:ascii="Merriweather" w:cs="Merriweather" w:eastAsia="Merriweather" w:hAnsi="Merriweathe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i.org/10.1038/s41467-025-66888-1" TargetMode="External"/><Relationship Id="rId5" Type="http://schemas.openxmlformats.org/officeDocument/2006/relationships/styles" Target="styles.xml"/><Relationship Id="rId6" Type="http://schemas.openxmlformats.org/officeDocument/2006/relationships/hyperlink" Target="https://doi.org/10.1038/s12276-024-01262-7" TargetMode="External"/><Relationship Id="rId7" Type="http://schemas.openxmlformats.org/officeDocument/2006/relationships/hyperlink" Target="https://doi.org/10.1038/s41467-025-66888-1" TargetMode="External"/><Relationship Id="rId8" Type="http://schemas.openxmlformats.org/officeDocument/2006/relationships/hyperlink" Target="https://doi.org/10.1038/s12276-024-0126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