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A7F" w:rsidRPr="00BA4A7F" w:rsidRDefault="00BA4A7F" w:rsidP="00BA4A7F">
      <w:pPr>
        <w:jc w:val="center"/>
        <w:rPr>
          <w:rFonts w:ascii="Verdana" w:hAnsi="Verdana" w:cs="Verdana"/>
          <w:b/>
          <w:color w:val="993300"/>
          <w:sz w:val="20"/>
          <w:szCs w:val="20"/>
          <w:u w:val="single"/>
        </w:rPr>
      </w:pPr>
      <w:r w:rsidRPr="00BA4A7F">
        <w:rPr>
          <w:rFonts w:ascii="Verdana" w:hAnsi="Verdana" w:cs="Verdana"/>
          <w:b/>
          <w:color w:val="000000"/>
          <w:sz w:val="20"/>
          <w:szCs w:val="20"/>
          <w:u w:val="single"/>
        </w:rPr>
        <w:t xml:space="preserve">CARRERA DE ODONTOESTOMATOLOGÍA HOMEOPÁTICA 2015 </w:t>
      </w:r>
    </w:p>
    <w:p w:rsidR="00BA4A7F" w:rsidRPr="007F6362" w:rsidRDefault="00BA4A7F" w:rsidP="00BA4A7F">
      <w:pPr>
        <w:rPr>
          <w:rFonts w:ascii="Verdana" w:hAnsi="Verdana" w:cs="Verdana"/>
          <w:color w:val="000000"/>
          <w:sz w:val="20"/>
          <w:szCs w:val="20"/>
        </w:rPr>
      </w:pPr>
      <w:r w:rsidRPr="007F6362">
        <w:rPr>
          <w:rFonts w:ascii="Verdana" w:hAnsi="Verdana" w:cs="Verdana"/>
          <w:b/>
          <w:bCs/>
          <w:color w:val="000000"/>
          <w:sz w:val="20"/>
          <w:szCs w:val="20"/>
        </w:rPr>
        <w:t>Duración:</w:t>
      </w:r>
      <w:r w:rsidRPr="007F6362">
        <w:rPr>
          <w:rFonts w:ascii="Verdana" w:hAnsi="Verdana" w:cs="Verdana"/>
          <w:color w:val="000000"/>
          <w:sz w:val="20"/>
          <w:szCs w:val="20"/>
        </w:rPr>
        <w:t xml:space="preserve"> 2 años</w:t>
      </w:r>
    </w:p>
    <w:p w:rsidR="00BA4A7F" w:rsidRPr="007F6362" w:rsidRDefault="00BA4A7F" w:rsidP="00BA4A7F">
      <w:pPr>
        <w:rPr>
          <w:rFonts w:ascii="Verdana" w:hAnsi="Verdana" w:cs="Verdana"/>
          <w:b/>
          <w:bCs/>
          <w:color w:val="000000"/>
          <w:sz w:val="20"/>
          <w:szCs w:val="20"/>
        </w:rPr>
      </w:pPr>
      <w:r w:rsidRPr="007F6362">
        <w:rPr>
          <w:rFonts w:ascii="Verdana" w:hAnsi="Verdana" w:cs="Verdana"/>
          <w:b/>
          <w:bCs/>
          <w:color w:val="000000"/>
          <w:sz w:val="20"/>
          <w:szCs w:val="20"/>
        </w:rPr>
        <w:t>Fecha de comienzo</w:t>
      </w:r>
    </w:p>
    <w:p w:rsidR="00BA4A7F" w:rsidRPr="007F6362" w:rsidRDefault="00BA4A7F" w:rsidP="00BA4A7F">
      <w:pPr>
        <w:rPr>
          <w:rFonts w:ascii="Verdana" w:hAnsi="Verdana" w:cs="Verdana"/>
          <w:color w:val="000000"/>
          <w:sz w:val="20"/>
          <w:szCs w:val="20"/>
        </w:rPr>
      </w:pPr>
      <w:r w:rsidRPr="007F6362">
        <w:rPr>
          <w:rFonts w:ascii="Verdana" w:hAnsi="Verdana" w:cs="Verdana"/>
          <w:b/>
          <w:bCs/>
          <w:color w:val="000000"/>
          <w:sz w:val="20"/>
          <w:szCs w:val="20"/>
        </w:rPr>
        <w:t xml:space="preserve">1º Año: </w:t>
      </w:r>
      <w:r w:rsidRPr="007F6362">
        <w:rPr>
          <w:rFonts w:ascii="Verdana" w:hAnsi="Verdana" w:cs="Verdana"/>
          <w:color w:val="000000"/>
          <w:sz w:val="20"/>
          <w:szCs w:val="20"/>
        </w:rPr>
        <w:t>Viernes 24 de abril</w:t>
      </w:r>
    </w:p>
    <w:p w:rsidR="00BA4A7F" w:rsidRPr="007F6362" w:rsidRDefault="00BA4A7F" w:rsidP="00BA4A7F">
      <w:pPr>
        <w:rPr>
          <w:rFonts w:ascii="Verdana" w:hAnsi="Verdana" w:cs="Verdana"/>
          <w:color w:val="000000"/>
          <w:sz w:val="20"/>
          <w:szCs w:val="20"/>
        </w:rPr>
      </w:pPr>
      <w:r w:rsidRPr="007F6362">
        <w:rPr>
          <w:rFonts w:ascii="Verdana" w:hAnsi="Verdana" w:cs="Verdana"/>
          <w:b/>
          <w:bCs/>
          <w:color w:val="000000"/>
          <w:sz w:val="20"/>
          <w:szCs w:val="20"/>
        </w:rPr>
        <w:t xml:space="preserve">2º Año: </w:t>
      </w:r>
      <w:r w:rsidRPr="007F6362">
        <w:rPr>
          <w:rFonts w:ascii="Verdana" w:hAnsi="Verdana" w:cs="Verdana"/>
          <w:color w:val="000000"/>
          <w:sz w:val="20"/>
          <w:szCs w:val="20"/>
        </w:rPr>
        <w:t>Viernes 17 de abril</w:t>
      </w:r>
    </w:p>
    <w:p w:rsidR="00BA4A7F" w:rsidRPr="007F6362" w:rsidRDefault="00BA4A7F" w:rsidP="00BA4A7F">
      <w:pPr>
        <w:rPr>
          <w:rFonts w:ascii="Verdana" w:hAnsi="Verdana" w:cs="Verdana"/>
          <w:color w:val="000000"/>
          <w:sz w:val="20"/>
          <w:szCs w:val="20"/>
        </w:rPr>
      </w:pPr>
    </w:p>
    <w:p w:rsidR="00BA4A7F" w:rsidRPr="007F6362" w:rsidRDefault="00BA4A7F" w:rsidP="00BA4A7F">
      <w:pPr>
        <w:rPr>
          <w:rFonts w:ascii="Verdana" w:hAnsi="Verdana"/>
          <w:sz w:val="20"/>
          <w:szCs w:val="20"/>
        </w:rPr>
      </w:pPr>
      <w:r w:rsidRPr="007F6362">
        <w:rPr>
          <w:rFonts w:ascii="Verdana" w:hAnsi="Verdana"/>
          <w:b/>
          <w:sz w:val="20"/>
          <w:szCs w:val="20"/>
        </w:rPr>
        <w:t>Requisitos</w:t>
      </w:r>
      <w:r w:rsidRPr="007F6362">
        <w:rPr>
          <w:rFonts w:ascii="Verdana" w:hAnsi="Verdana"/>
          <w:sz w:val="20"/>
          <w:szCs w:val="20"/>
        </w:rPr>
        <w:t>: Ser odontólogo. Presentar fotocopia autenticada y en tamaño reducido de ambas caras del título y fotocopia de ambas caras de la matrícula.</w:t>
      </w:r>
      <w:r w:rsidRPr="007F6362">
        <w:rPr>
          <w:rFonts w:ascii="Verdana" w:hAnsi="Verdana"/>
          <w:sz w:val="20"/>
          <w:szCs w:val="20"/>
        </w:rPr>
        <w:br/>
      </w:r>
      <w:r w:rsidRPr="007F6362">
        <w:rPr>
          <w:rFonts w:ascii="Verdana" w:hAnsi="Verdana"/>
          <w:b/>
          <w:sz w:val="20"/>
          <w:szCs w:val="20"/>
        </w:rPr>
        <w:t xml:space="preserve">Fotos carnet: </w:t>
      </w:r>
      <w:r w:rsidRPr="007F6362">
        <w:rPr>
          <w:rFonts w:ascii="Verdana" w:hAnsi="Verdana"/>
          <w:sz w:val="20"/>
          <w:szCs w:val="20"/>
        </w:rPr>
        <w:t>2 (dos)</w:t>
      </w:r>
    </w:p>
    <w:p w:rsidR="00BA4A7F" w:rsidRPr="007F6362" w:rsidRDefault="00BA4A7F" w:rsidP="00BA4A7F">
      <w:pPr>
        <w:rPr>
          <w:rFonts w:ascii="Verdana" w:hAnsi="Verdana"/>
          <w:sz w:val="20"/>
          <w:szCs w:val="20"/>
        </w:rPr>
      </w:pPr>
      <w:r w:rsidRPr="007F6362">
        <w:rPr>
          <w:rFonts w:ascii="Verdana" w:hAnsi="Verdana"/>
          <w:b/>
          <w:sz w:val="20"/>
          <w:szCs w:val="20"/>
          <w:u w:val="single"/>
        </w:rPr>
        <w:t>Arancel</w:t>
      </w:r>
      <w:r w:rsidRPr="007F6362">
        <w:rPr>
          <w:rFonts w:ascii="Verdana" w:hAnsi="Verdana"/>
          <w:b/>
          <w:sz w:val="20"/>
          <w:szCs w:val="20"/>
        </w:rPr>
        <w:t xml:space="preserve">: </w:t>
      </w:r>
      <w:r w:rsidRPr="007F6362">
        <w:rPr>
          <w:rFonts w:ascii="Verdana" w:hAnsi="Verdana"/>
          <w:sz w:val="20"/>
          <w:szCs w:val="20"/>
        </w:rPr>
        <w:t xml:space="preserve">igual a Medicina Homeopática. </w:t>
      </w:r>
    </w:p>
    <w:p w:rsidR="00BA4A7F" w:rsidRPr="007F6362" w:rsidRDefault="00BA4A7F" w:rsidP="00BA4A7F">
      <w:pPr>
        <w:rPr>
          <w:rFonts w:ascii="Verdana" w:hAnsi="Verdana" w:cs="Verdana"/>
          <w:color w:val="000000"/>
          <w:sz w:val="20"/>
          <w:szCs w:val="20"/>
        </w:rPr>
      </w:pPr>
    </w:p>
    <w:p w:rsidR="00BA4A7F" w:rsidRPr="007F6362" w:rsidRDefault="00BA4A7F" w:rsidP="00BA4A7F">
      <w:pPr>
        <w:rPr>
          <w:rFonts w:ascii="Verdana" w:hAnsi="Verdana" w:cs="Verdana"/>
          <w:color w:val="000000"/>
          <w:sz w:val="20"/>
          <w:szCs w:val="20"/>
        </w:rPr>
      </w:pPr>
      <w:r w:rsidRPr="007F6362">
        <w:rPr>
          <w:rFonts w:ascii="Verdana" w:hAnsi="Verdana" w:cs="Verdana"/>
          <w:b/>
          <w:bCs/>
          <w:color w:val="000000"/>
          <w:sz w:val="20"/>
          <w:szCs w:val="20"/>
        </w:rPr>
        <w:t>OBJETIVO</w:t>
      </w:r>
      <w:r w:rsidRPr="007F6362">
        <w:rPr>
          <w:rFonts w:ascii="Verdana" w:hAnsi="Verdana" w:cs="Verdana"/>
          <w:color w:val="000000"/>
          <w:sz w:val="20"/>
          <w:szCs w:val="20"/>
        </w:rPr>
        <w:t xml:space="preserve">: capacitar al Odontólogo en el manejo homeopático de la patología aguda y crónica del aparato </w:t>
      </w:r>
      <w:proofErr w:type="spellStart"/>
      <w:r w:rsidRPr="007F6362">
        <w:rPr>
          <w:rFonts w:ascii="Verdana" w:hAnsi="Verdana" w:cs="Verdana"/>
          <w:color w:val="000000"/>
          <w:sz w:val="20"/>
          <w:szCs w:val="20"/>
        </w:rPr>
        <w:t>estomatognático</w:t>
      </w:r>
      <w:proofErr w:type="spellEnd"/>
      <w:r w:rsidRPr="007F6362">
        <w:rPr>
          <w:rFonts w:ascii="Verdana" w:hAnsi="Verdana" w:cs="Verdana"/>
          <w:color w:val="000000"/>
          <w:sz w:val="20"/>
          <w:szCs w:val="20"/>
        </w:rPr>
        <w:t xml:space="preserve">. </w:t>
      </w:r>
    </w:p>
    <w:p w:rsidR="00BA4A7F" w:rsidRPr="007F6362" w:rsidRDefault="00BA4A7F" w:rsidP="00BA4A7F">
      <w:pPr>
        <w:rPr>
          <w:rFonts w:ascii="Verdana" w:hAnsi="Verdana" w:cs="Verdana"/>
          <w:color w:val="000000"/>
          <w:sz w:val="20"/>
          <w:szCs w:val="20"/>
        </w:rPr>
      </w:pPr>
      <w:r w:rsidRPr="007F6362">
        <w:rPr>
          <w:rFonts w:ascii="Verdana" w:hAnsi="Verdana" w:cs="Verdana"/>
          <w:color w:val="000000"/>
          <w:sz w:val="20"/>
          <w:szCs w:val="20"/>
        </w:rPr>
        <w:t>Esto lo habilita a ejercer la Homeopatía en su profesión, como así también, a ser un aliado del médico en el tratamiento homeopático y en la detección de enfermedades sistémicas con localización bucal.</w:t>
      </w:r>
    </w:p>
    <w:p w:rsidR="00BA4A7F" w:rsidRPr="007F6362" w:rsidRDefault="00BA4A7F" w:rsidP="00BA4A7F">
      <w:pPr>
        <w:autoSpaceDE w:val="0"/>
        <w:autoSpaceDN w:val="0"/>
        <w:adjustRightInd w:val="0"/>
        <w:rPr>
          <w:rFonts w:ascii="Verdana" w:hAnsi="Verdana" w:cs="Verdana"/>
          <w:color w:val="000000"/>
          <w:sz w:val="20"/>
          <w:szCs w:val="20"/>
        </w:rPr>
      </w:pPr>
    </w:p>
    <w:p w:rsidR="00BA4A7F" w:rsidRPr="007F6362" w:rsidRDefault="00BA4A7F" w:rsidP="00BA4A7F">
      <w:pPr>
        <w:autoSpaceDE w:val="0"/>
        <w:autoSpaceDN w:val="0"/>
        <w:adjustRightInd w:val="0"/>
        <w:rPr>
          <w:rFonts w:ascii="Verdana" w:hAnsi="Verdana" w:cs="Verdana"/>
          <w:color w:val="000000"/>
          <w:sz w:val="20"/>
          <w:szCs w:val="20"/>
        </w:rPr>
      </w:pPr>
      <w:r w:rsidRPr="007F6362">
        <w:rPr>
          <w:rFonts w:ascii="Verdana" w:hAnsi="Verdana" w:cs="Verdana"/>
          <w:b/>
          <w:bCs/>
          <w:color w:val="000000"/>
          <w:sz w:val="20"/>
          <w:szCs w:val="20"/>
        </w:rPr>
        <w:t>PRIMER AÑO</w:t>
      </w:r>
      <w:r w:rsidRPr="007F6362">
        <w:rPr>
          <w:rFonts w:ascii="Verdana" w:hAnsi="Verdana" w:cs="Verdana"/>
          <w:color w:val="000000"/>
          <w:sz w:val="20"/>
          <w:szCs w:val="20"/>
        </w:rPr>
        <w:t xml:space="preserve">: se cursa en forma conjunta con Medicina Homeopática. </w:t>
      </w:r>
    </w:p>
    <w:p w:rsidR="00BA4A7F" w:rsidRPr="007F6362" w:rsidRDefault="00BA4A7F" w:rsidP="00BA4A7F">
      <w:pPr>
        <w:autoSpaceDE w:val="0"/>
        <w:autoSpaceDN w:val="0"/>
        <w:adjustRightInd w:val="0"/>
        <w:rPr>
          <w:rFonts w:ascii="Verdana" w:hAnsi="Verdana" w:cs="Verdana"/>
          <w:color w:val="000000"/>
          <w:sz w:val="20"/>
          <w:szCs w:val="20"/>
        </w:rPr>
      </w:pPr>
      <w:r w:rsidRPr="007F6362">
        <w:rPr>
          <w:rFonts w:ascii="Verdana" w:hAnsi="Verdana" w:cs="Verdana"/>
          <w:b/>
          <w:bCs/>
          <w:color w:val="000000"/>
          <w:sz w:val="20"/>
          <w:szCs w:val="20"/>
        </w:rPr>
        <w:t>SEGUNDO AÑO</w:t>
      </w:r>
      <w:r w:rsidRPr="007F6362">
        <w:rPr>
          <w:rFonts w:ascii="Verdana" w:hAnsi="Verdana" w:cs="Verdana"/>
          <w:color w:val="000000"/>
          <w:sz w:val="20"/>
          <w:szCs w:val="20"/>
        </w:rPr>
        <w:t>: Consiste en la profundización de temas vinculados a la especialidad, tanto desde el punto de vista clínico, como desde la Materia Médica y la Doctrina Homeopáticas.</w:t>
      </w:r>
    </w:p>
    <w:p w:rsidR="00BA4A7F" w:rsidRPr="007F6362" w:rsidRDefault="00BA4A7F" w:rsidP="00BA4A7F">
      <w:pPr>
        <w:autoSpaceDE w:val="0"/>
        <w:autoSpaceDN w:val="0"/>
        <w:adjustRightInd w:val="0"/>
        <w:rPr>
          <w:rFonts w:ascii="Verdana" w:hAnsi="Verdana" w:cs="Verdana"/>
          <w:noProof/>
          <w:color w:val="000000"/>
          <w:sz w:val="20"/>
          <w:szCs w:val="20"/>
        </w:rPr>
      </w:pPr>
      <w:r w:rsidRPr="007F6362">
        <w:rPr>
          <w:rFonts w:ascii="Verdana" w:hAnsi="Verdana" w:cs="Verdana"/>
          <w:color w:val="000000"/>
          <w:sz w:val="20"/>
          <w:szCs w:val="20"/>
        </w:rPr>
        <w:t xml:space="preserve">Serán obligatorias las clases de Segundo Año de Medicina Homeopática y las Clases Especiales de orientación </w:t>
      </w:r>
      <w:proofErr w:type="spellStart"/>
      <w:r w:rsidRPr="007F6362">
        <w:rPr>
          <w:rFonts w:ascii="Verdana" w:hAnsi="Verdana" w:cs="Verdana"/>
          <w:color w:val="000000"/>
          <w:sz w:val="20"/>
          <w:szCs w:val="20"/>
        </w:rPr>
        <w:t>odontoestomatológicas</w:t>
      </w:r>
      <w:proofErr w:type="spellEnd"/>
      <w:r w:rsidRPr="007F6362">
        <w:rPr>
          <w:rFonts w:ascii="Verdana" w:hAnsi="Verdana" w:cs="Verdana"/>
          <w:color w:val="000000"/>
          <w:sz w:val="20"/>
          <w:szCs w:val="20"/>
        </w:rPr>
        <w:t>. Estas últimas se dictarán un viernes por la tarde o un sábado por la mañana o por la tarde, dentro de los días y horarios de Segundo Año de Medicina, (ver programa de Segundo Año de Medicina). Se dictarán en el aula del primer piso de la institución.</w:t>
      </w:r>
    </w:p>
    <w:p w:rsidR="00BA4A7F" w:rsidRPr="007F6362" w:rsidRDefault="00BA4A7F" w:rsidP="00BA4A7F">
      <w:pPr>
        <w:rPr>
          <w:rFonts w:ascii="Verdana" w:hAnsi="Verdana" w:cs="Verdana"/>
          <w:noProof/>
          <w:color w:val="000000"/>
          <w:sz w:val="20"/>
          <w:szCs w:val="20"/>
        </w:rPr>
      </w:pPr>
    </w:p>
    <w:p w:rsidR="00BA4A7F" w:rsidRPr="007F6362" w:rsidRDefault="00BA4A7F" w:rsidP="00BA4A7F">
      <w:pPr>
        <w:jc w:val="both"/>
        <w:rPr>
          <w:rFonts w:ascii="Verdana" w:hAnsi="Verdana" w:cs="Verdana"/>
          <w:b/>
          <w:bCs/>
          <w:sz w:val="20"/>
          <w:szCs w:val="20"/>
        </w:rPr>
      </w:pPr>
      <w:r w:rsidRPr="007F6362">
        <w:rPr>
          <w:rFonts w:ascii="Verdana" w:hAnsi="Verdana" w:cs="Verdana"/>
          <w:noProof/>
          <w:color w:val="000000"/>
          <w:sz w:val="20"/>
          <w:szCs w:val="20"/>
        </w:rPr>
        <w:t xml:space="preserve">La formación en Odontoestomatología Homeopática se asentará en el trípode:                                                                           </w:t>
      </w:r>
      <w:r w:rsidRPr="007F6362">
        <w:rPr>
          <w:rFonts w:ascii="Verdana" w:hAnsi="Verdana" w:cs="Verdana"/>
          <w:b/>
          <w:bCs/>
          <w:noProof/>
          <w:color w:val="000000"/>
          <w:sz w:val="20"/>
          <w:szCs w:val="20"/>
        </w:rPr>
        <w:t>DOCTRINA y MATERIA MÉDICA  -</w:t>
      </w:r>
      <w:r w:rsidRPr="007F6362">
        <w:rPr>
          <w:rFonts w:ascii="Verdana" w:hAnsi="Verdana" w:cs="Verdana"/>
          <w:b/>
          <w:bCs/>
          <w:sz w:val="20"/>
          <w:szCs w:val="20"/>
        </w:rPr>
        <w:t xml:space="preserve">  PRÁCTICA  -  INVESTIGACIÓN</w:t>
      </w:r>
    </w:p>
    <w:p w:rsidR="00BA4A7F" w:rsidRPr="007F6362" w:rsidRDefault="00BA4A7F" w:rsidP="00BA4A7F">
      <w:pPr>
        <w:jc w:val="both"/>
        <w:rPr>
          <w:rFonts w:ascii="Verdana" w:hAnsi="Verdana" w:cs="Verdana"/>
          <w:noProof/>
          <w:color w:val="000000"/>
          <w:sz w:val="20"/>
          <w:szCs w:val="20"/>
        </w:rPr>
      </w:pPr>
    </w:p>
    <w:p w:rsidR="00BA4A7F" w:rsidRPr="007F6362" w:rsidRDefault="00BA4A7F" w:rsidP="00BA4A7F">
      <w:pPr>
        <w:jc w:val="both"/>
        <w:rPr>
          <w:rFonts w:ascii="Verdana" w:hAnsi="Verdana" w:cs="Verdana"/>
          <w:b/>
          <w:bCs/>
          <w:noProof/>
          <w:color w:val="000000"/>
          <w:sz w:val="20"/>
          <w:szCs w:val="20"/>
        </w:rPr>
      </w:pPr>
      <w:r w:rsidRPr="007F6362">
        <w:rPr>
          <w:rFonts w:ascii="Verdana" w:hAnsi="Verdana" w:cs="Verdana"/>
          <w:b/>
          <w:bCs/>
          <w:noProof/>
          <w:color w:val="000000"/>
          <w:sz w:val="20"/>
          <w:szCs w:val="20"/>
        </w:rPr>
        <w:t>DOCTRINA y MATERIA MÉDICA</w:t>
      </w:r>
    </w:p>
    <w:p w:rsidR="00BA4A7F" w:rsidRPr="007F6362" w:rsidRDefault="00BA4A7F" w:rsidP="00BA4A7F">
      <w:pPr>
        <w:autoSpaceDE w:val="0"/>
        <w:autoSpaceDN w:val="0"/>
        <w:adjustRightInd w:val="0"/>
        <w:rPr>
          <w:rFonts w:ascii="Verdana" w:hAnsi="Verdana" w:cs="Verdana"/>
          <w:color w:val="000000"/>
          <w:sz w:val="20"/>
          <w:szCs w:val="20"/>
        </w:rPr>
      </w:pPr>
      <w:r w:rsidRPr="007F6362">
        <w:rPr>
          <w:rFonts w:ascii="Verdana" w:hAnsi="Verdana" w:cs="Verdana"/>
          <w:color w:val="000000"/>
          <w:sz w:val="20"/>
          <w:szCs w:val="20"/>
        </w:rPr>
        <w:t xml:space="preserve">En las Clases Especiales de Orientación </w:t>
      </w:r>
      <w:proofErr w:type="spellStart"/>
      <w:r w:rsidRPr="007F6362">
        <w:rPr>
          <w:rFonts w:ascii="Verdana" w:hAnsi="Verdana" w:cs="Verdana"/>
          <w:color w:val="000000"/>
          <w:sz w:val="20"/>
          <w:szCs w:val="20"/>
        </w:rPr>
        <w:t>Odontoestomatológica</w:t>
      </w:r>
      <w:proofErr w:type="spellEnd"/>
      <w:r w:rsidRPr="007F6362">
        <w:rPr>
          <w:rFonts w:ascii="Verdana" w:hAnsi="Verdana" w:cs="Verdana"/>
          <w:color w:val="000000"/>
          <w:sz w:val="20"/>
          <w:szCs w:val="20"/>
        </w:rPr>
        <w:t xml:space="preserve">, se repasarán exhaustivamente los conceptos doctrinarios y filosóficos: estudio del Órganon, Enfermedades Crónicas, Filosofía de Kent y otros autores clásicos, temas de Materia Médica con tropismo bucodental y clínica </w:t>
      </w:r>
      <w:proofErr w:type="spellStart"/>
      <w:r w:rsidRPr="007F6362">
        <w:rPr>
          <w:rFonts w:ascii="Verdana" w:hAnsi="Verdana" w:cs="Verdana"/>
          <w:color w:val="000000"/>
          <w:sz w:val="20"/>
          <w:szCs w:val="20"/>
        </w:rPr>
        <w:t>odontoestomatológica</w:t>
      </w:r>
      <w:proofErr w:type="spellEnd"/>
      <w:r w:rsidRPr="007F6362">
        <w:rPr>
          <w:rFonts w:ascii="Verdana" w:hAnsi="Verdana" w:cs="Verdana"/>
          <w:color w:val="000000"/>
          <w:sz w:val="20"/>
          <w:szCs w:val="20"/>
        </w:rPr>
        <w:t xml:space="preserve">. </w:t>
      </w:r>
    </w:p>
    <w:p w:rsidR="00BA4A7F" w:rsidRPr="007F6362" w:rsidRDefault="00BA4A7F" w:rsidP="00BA4A7F">
      <w:pPr>
        <w:autoSpaceDE w:val="0"/>
        <w:autoSpaceDN w:val="0"/>
        <w:adjustRightInd w:val="0"/>
        <w:rPr>
          <w:rFonts w:ascii="Verdana" w:hAnsi="Verdana" w:cs="Verdana"/>
          <w:color w:val="000000"/>
          <w:sz w:val="20"/>
          <w:szCs w:val="20"/>
        </w:rPr>
      </w:pPr>
      <w:r w:rsidRPr="007F6362">
        <w:rPr>
          <w:rFonts w:ascii="Verdana" w:hAnsi="Verdana" w:cs="Verdana"/>
          <w:color w:val="000000"/>
          <w:sz w:val="20"/>
          <w:szCs w:val="20"/>
        </w:rPr>
        <w:t xml:space="preserve">Además, en la Cátedra, se dictará el “3º Curso de </w:t>
      </w:r>
      <w:proofErr w:type="spellStart"/>
      <w:r w:rsidRPr="007F6362">
        <w:rPr>
          <w:rFonts w:ascii="Verdana" w:hAnsi="Verdana" w:cs="Verdana"/>
          <w:color w:val="000000"/>
          <w:sz w:val="20"/>
          <w:szCs w:val="20"/>
        </w:rPr>
        <w:t>Odontoestomatología</w:t>
      </w:r>
      <w:proofErr w:type="spellEnd"/>
      <w:r w:rsidRPr="007F6362">
        <w:rPr>
          <w:rFonts w:ascii="Verdana" w:hAnsi="Verdana" w:cs="Verdana"/>
          <w:color w:val="000000"/>
          <w:sz w:val="20"/>
          <w:szCs w:val="20"/>
        </w:rPr>
        <w:t xml:space="preserve"> homeopática” los días Lunes de 8:30 a 9:30, en el aula del primer piso, con temas de Doctrina y de la especialidad, de interés tanto para Odontólogos (cuya asistencia no es obligatoria, pero sí recomendada para su formación), como para Médicos y Veterinarios. El temario se puede consultar en la cartelera de la Escuela.</w:t>
      </w:r>
    </w:p>
    <w:p w:rsidR="00BA4A7F" w:rsidRPr="007F6362" w:rsidRDefault="00BA4A7F" w:rsidP="00BA4A7F">
      <w:pPr>
        <w:rPr>
          <w:rFonts w:ascii="Verdana" w:hAnsi="Verdana" w:cs="Verdana"/>
          <w:sz w:val="20"/>
          <w:szCs w:val="20"/>
        </w:rPr>
      </w:pPr>
    </w:p>
    <w:p w:rsidR="00BA4A7F" w:rsidRPr="007F6362" w:rsidRDefault="00BA4A7F" w:rsidP="00BA4A7F">
      <w:pPr>
        <w:jc w:val="both"/>
        <w:rPr>
          <w:rFonts w:ascii="Verdana" w:hAnsi="Verdana" w:cs="Verdana"/>
          <w:b/>
          <w:bCs/>
          <w:sz w:val="20"/>
          <w:szCs w:val="20"/>
        </w:rPr>
      </w:pPr>
      <w:r w:rsidRPr="007F6362">
        <w:rPr>
          <w:rFonts w:ascii="Verdana" w:hAnsi="Verdana" w:cs="Verdana"/>
          <w:b/>
          <w:bCs/>
          <w:sz w:val="20"/>
          <w:szCs w:val="20"/>
        </w:rPr>
        <w:t>PRÁCTICA</w:t>
      </w:r>
    </w:p>
    <w:p w:rsidR="00BA4A7F" w:rsidRPr="007F6362" w:rsidRDefault="00BA4A7F" w:rsidP="00BA4A7F">
      <w:pPr>
        <w:rPr>
          <w:rFonts w:ascii="Verdana" w:hAnsi="Verdana" w:cs="Verdana"/>
          <w:sz w:val="20"/>
          <w:szCs w:val="20"/>
        </w:rPr>
      </w:pPr>
      <w:r w:rsidRPr="007F6362">
        <w:rPr>
          <w:rFonts w:ascii="Verdana" w:hAnsi="Verdana" w:cs="Verdana"/>
          <w:sz w:val="20"/>
          <w:szCs w:val="20"/>
        </w:rPr>
        <w:t xml:space="preserve">Las clases prácticas se llevarán a cabo los días Lunes de 9:45 a 12 hs. en el aula del primer piso, con la participación dinámica de alumnos y docentes. Se tomarán historias clínicas, preferentemente de pacientes con patología </w:t>
      </w:r>
      <w:proofErr w:type="spellStart"/>
      <w:r w:rsidRPr="007F6362">
        <w:rPr>
          <w:rFonts w:ascii="Verdana" w:hAnsi="Verdana" w:cs="Verdana"/>
          <w:sz w:val="20"/>
          <w:szCs w:val="20"/>
        </w:rPr>
        <w:t>odontoestomatológica</w:t>
      </w:r>
      <w:proofErr w:type="spellEnd"/>
      <w:r w:rsidRPr="007F6362">
        <w:rPr>
          <w:rFonts w:ascii="Verdana" w:hAnsi="Verdana" w:cs="Verdana"/>
          <w:sz w:val="20"/>
          <w:szCs w:val="20"/>
        </w:rPr>
        <w:t xml:space="preserve">. </w:t>
      </w:r>
    </w:p>
    <w:p w:rsidR="00BA4A7F" w:rsidRPr="007F6362" w:rsidRDefault="00BA4A7F" w:rsidP="00BA4A7F">
      <w:pPr>
        <w:jc w:val="both"/>
        <w:rPr>
          <w:rFonts w:ascii="Verdana" w:hAnsi="Verdana" w:cs="Verdana"/>
          <w:sz w:val="20"/>
          <w:szCs w:val="20"/>
        </w:rPr>
      </w:pPr>
      <w:r w:rsidRPr="007F6362">
        <w:rPr>
          <w:rFonts w:ascii="Verdana" w:hAnsi="Verdana" w:cs="Verdana"/>
          <w:sz w:val="20"/>
          <w:szCs w:val="20"/>
        </w:rPr>
        <w:t xml:space="preserve">Estas prácticas, si bien son orientadas hacia el alumno Odontólogo, no son de cumplimiento obligatorio para el mismo, el cual podrá cumplir sus prácticos en las Cátedras que funcionan de </w:t>
      </w:r>
      <w:proofErr w:type="gramStart"/>
      <w:r w:rsidRPr="007F6362">
        <w:rPr>
          <w:rFonts w:ascii="Verdana" w:hAnsi="Verdana" w:cs="Verdana"/>
          <w:sz w:val="20"/>
          <w:szCs w:val="20"/>
        </w:rPr>
        <w:t>Lunes</w:t>
      </w:r>
      <w:proofErr w:type="gramEnd"/>
      <w:r w:rsidRPr="007F6362">
        <w:rPr>
          <w:rFonts w:ascii="Verdana" w:hAnsi="Verdana" w:cs="Verdana"/>
          <w:sz w:val="20"/>
          <w:szCs w:val="20"/>
        </w:rPr>
        <w:t xml:space="preserve"> a Viernes y en los Consultorios de Extensión (en este caso, sólo hasta el 30% de los prácticos). Del mismo modo, nuestra Cátedra está abierta a Médicos y Veterinarios. </w:t>
      </w:r>
    </w:p>
    <w:p w:rsidR="00BA4A7F" w:rsidRPr="007F6362" w:rsidRDefault="00BA4A7F" w:rsidP="00BA4A7F">
      <w:pPr>
        <w:rPr>
          <w:rFonts w:ascii="Verdana" w:hAnsi="Verdana" w:cs="Verdana"/>
          <w:sz w:val="20"/>
          <w:szCs w:val="20"/>
        </w:rPr>
      </w:pPr>
    </w:p>
    <w:p w:rsidR="00BA4A7F" w:rsidRPr="007F6362" w:rsidRDefault="00BA4A7F" w:rsidP="00BA4A7F">
      <w:pPr>
        <w:jc w:val="both"/>
        <w:rPr>
          <w:rFonts w:ascii="Verdana" w:hAnsi="Verdana" w:cs="Verdana"/>
          <w:b/>
          <w:bCs/>
          <w:sz w:val="20"/>
          <w:szCs w:val="20"/>
        </w:rPr>
      </w:pPr>
      <w:r w:rsidRPr="007F6362">
        <w:rPr>
          <w:rFonts w:ascii="Verdana" w:hAnsi="Verdana" w:cs="Verdana"/>
          <w:b/>
          <w:bCs/>
          <w:sz w:val="20"/>
          <w:szCs w:val="20"/>
        </w:rPr>
        <w:t>INVESTIGACIÓN</w:t>
      </w:r>
    </w:p>
    <w:p w:rsidR="00BA4A7F" w:rsidRPr="007F6362" w:rsidRDefault="00BA4A7F" w:rsidP="00BA4A7F">
      <w:pPr>
        <w:jc w:val="both"/>
        <w:rPr>
          <w:rFonts w:ascii="Verdana" w:hAnsi="Verdana" w:cs="Verdana"/>
          <w:sz w:val="20"/>
          <w:szCs w:val="20"/>
        </w:rPr>
      </w:pPr>
      <w:r w:rsidRPr="007F6362">
        <w:rPr>
          <w:rFonts w:ascii="Verdana" w:hAnsi="Verdana" w:cs="Verdana"/>
          <w:sz w:val="20"/>
          <w:szCs w:val="20"/>
        </w:rPr>
        <w:lastRenderedPageBreak/>
        <w:t xml:space="preserve">Se estimulará la investigación, tanto en la Cátedra como en las Clases Especiales, mediante la lectura y análisis de trabajos científicos relacionados con la especialidad, el contacto con Odontólogos Homeópatas del exterior con vasta experiencia y el desarrollo de un plan de investigación clínica a largo plazo. </w:t>
      </w:r>
    </w:p>
    <w:p w:rsidR="00BA4A7F" w:rsidRPr="007F6362" w:rsidRDefault="00BA4A7F" w:rsidP="00BA4A7F">
      <w:pPr>
        <w:jc w:val="both"/>
        <w:rPr>
          <w:rFonts w:ascii="Verdana" w:hAnsi="Verdana" w:cs="Verdana"/>
          <w:noProof/>
          <w:color w:val="000000"/>
          <w:sz w:val="20"/>
          <w:szCs w:val="20"/>
        </w:rPr>
      </w:pPr>
      <w:r w:rsidRPr="007F6362">
        <w:rPr>
          <w:rFonts w:ascii="Verdana" w:hAnsi="Verdana" w:cs="Verdana"/>
          <w:sz w:val="20"/>
          <w:szCs w:val="20"/>
        </w:rPr>
        <w:t xml:space="preserve">Al finalizar la carrera, el </w:t>
      </w:r>
      <w:r w:rsidRPr="007F6362">
        <w:rPr>
          <w:rFonts w:ascii="Verdana" w:hAnsi="Verdana" w:cs="Verdana"/>
          <w:noProof/>
          <w:color w:val="000000"/>
          <w:sz w:val="20"/>
          <w:szCs w:val="20"/>
        </w:rPr>
        <w:t xml:space="preserve">Odontólogo Homeópata estará capacitado para resolver, desde la visión homeopática, la patología de su área de incumbencia. </w:t>
      </w:r>
    </w:p>
    <w:p w:rsidR="00BA4A7F" w:rsidRPr="007F6362" w:rsidRDefault="00BA4A7F" w:rsidP="00BA4A7F">
      <w:pPr>
        <w:jc w:val="both"/>
        <w:rPr>
          <w:rFonts w:ascii="Verdana" w:hAnsi="Verdana" w:cs="Verdana"/>
          <w:sz w:val="20"/>
          <w:szCs w:val="20"/>
        </w:rPr>
      </w:pPr>
      <w:r w:rsidRPr="007F6362">
        <w:rPr>
          <w:rFonts w:ascii="Verdana" w:hAnsi="Verdana" w:cs="Verdana"/>
          <w:noProof/>
          <w:color w:val="000000"/>
          <w:sz w:val="20"/>
          <w:szCs w:val="20"/>
        </w:rPr>
        <w:t xml:space="preserve">Asimismo, se hallará en condiciones de solicitar la interconsulta con el Médico Homeópata, cuando la situación del paciente lo amerite. </w:t>
      </w:r>
    </w:p>
    <w:p w:rsidR="00BA4A7F" w:rsidRPr="007F6362" w:rsidRDefault="00BA4A7F" w:rsidP="00BA4A7F">
      <w:pPr>
        <w:rPr>
          <w:rFonts w:ascii="Verdana" w:hAnsi="Verdana" w:cs="Verdana"/>
          <w:sz w:val="20"/>
          <w:szCs w:val="20"/>
        </w:rPr>
      </w:pPr>
    </w:p>
    <w:p w:rsidR="00BA4A7F" w:rsidRPr="007F6362" w:rsidRDefault="00BA4A7F" w:rsidP="00BA4A7F">
      <w:pPr>
        <w:rPr>
          <w:rFonts w:ascii="Verdana" w:hAnsi="Verdana" w:cs="Verdana"/>
          <w:b/>
          <w:bCs/>
          <w:color w:val="000000"/>
          <w:sz w:val="20"/>
          <w:szCs w:val="20"/>
        </w:rPr>
      </w:pPr>
      <w:r w:rsidRPr="007F6362">
        <w:rPr>
          <w:rFonts w:ascii="Verdana" w:hAnsi="Verdana" w:cs="Verdana"/>
          <w:b/>
          <w:bCs/>
          <w:color w:val="000000"/>
          <w:sz w:val="20"/>
          <w:szCs w:val="20"/>
        </w:rPr>
        <w:t>Examen final:</w:t>
      </w:r>
    </w:p>
    <w:p w:rsidR="00BA4A7F" w:rsidRPr="007F6362" w:rsidRDefault="00BA4A7F" w:rsidP="00BA4A7F">
      <w:pPr>
        <w:rPr>
          <w:rFonts w:ascii="Verdana" w:hAnsi="Verdana" w:cs="Verdana"/>
          <w:b/>
          <w:bCs/>
          <w:color w:val="000000"/>
          <w:sz w:val="20"/>
          <w:szCs w:val="20"/>
        </w:rPr>
      </w:pPr>
      <w:r w:rsidRPr="007F6362">
        <w:rPr>
          <w:rFonts w:ascii="Verdana" w:hAnsi="Verdana" w:cs="Verdana"/>
          <w:b/>
          <w:bCs/>
          <w:color w:val="000000"/>
          <w:sz w:val="20"/>
          <w:szCs w:val="20"/>
        </w:rPr>
        <w:t xml:space="preserve">Práctico: </w:t>
      </w:r>
      <w:r w:rsidRPr="007F6362">
        <w:rPr>
          <w:rFonts w:ascii="Verdana" w:hAnsi="Verdana" w:cs="Verdana"/>
          <w:color w:val="000000"/>
          <w:sz w:val="20"/>
          <w:szCs w:val="20"/>
        </w:rPr>
        <w:t>viernes 27</w:t>
      </w:r>
      <w:r w:rsidRPr="007F6362">
        <w:rPr>
          <w:rFonts w:ascii="Verdana" w:hAnsi="Verdana" w:cs="Verdana"/>
          <w:color w:val="FF0000"/>
          <w:sz w:val="20"/>
          <w:szCs w:val="20"/>
        </w:rPr>
        <w:t xml:space="preserve"> </w:t>
      </w:r>
      <w:r w:rsidRPr="007F6362">
        <w:rPr>
          <w:rFonts w:ascii="Verdana" w:hAnsi="Verdana" w:cs="Verdana"/>
          <w:color w:val="000000"/>
          <w:sz w:val="20"/>
          <w:szCs w:val="20"/>
        </w:rPr>
        <w:t>de noviembre de 2015</w:t>
      </w:r>
      <w:r w:rsidRPr="007F6362">
        <w:rPr>
          <w:rFonts w:ascii="Verdana" w:hAnsi="Verdana" w:cs="Verdana"/>
          <w:b/>
          <w:bCs/>
          <w:color w:val="000000"/>
          <w:sz w:val="20"/>
          <w:szCs w:val="20"/>
        </w:rPr>
        <w:t xml:space="preserve"> </w:t>
      </w:r>
    </w:p>
    <w:p w:rsidR="00BA4A7F" w:rsidRPr="007F6362" w:rsidRDefault="00BA4A7F" w:rsidP="00BA4A7F">
      <w:pPr>
        <w:rPr>
          <w:rFonts w:ascii="Verdana" w:hAnsi="Verdana" w:cs="Verdana"/>
          <w:color w:val="000000"/>
          <w:sz w:val="20"/>
          <w:szCs w:val="20"/>
        </w:rPr>
      </w:pPr>
      <w:r w:rsidRPr="007F6362">
        <w:rPr>
          <w:rFonts w:ascii="Verdana" w:hAnsi="Verdana" w:cs="Verdana"/>
          <w:b/>
          <w:bCs/>
          <w:color w:val="000000"/>
          <w:sz w:val="20"/>
          <w:szCs w:val="20"/>
        </w:rPr>
        <w:t xml:space="preserve">Teórico: </w:t>
      </w:r>
      <w:r w:rsidRPr="007F6362">
        <w:rPr>
          <w:rFonts w:ascii="Verdana" w:hAnsi="Verdana" w:cs="Verdana"/>
          <w:color w:val="000000"/>
          <w:sz w:val="20"/>
          <w:szCs w:val="20"/>
        </w:rPr>
        <w:t xml:space="preserve">sábado 28 de noviembre de 2015 </w:t>
      </w:r>
    </w:p>
    <w:p w:rsidR="00BA4A7F" w:rsidRPr="007F6362" w:rsidRDefault="00BA4A7F" w:rsidP="00BA4A7F">
      <w:pPr>
        <w:rPr>
          <w:rFonts w:ascii="Verdana" w:hAnsi="Verdana" w:cs="Verdana"/>
          <w:color w:val="FF0000"/>
          <w:sz w:val="20"/>
          <w:szCs w:val="20"/>
        </w:rPr>
      </w:pPr>
    </w:p>
    <w:p w:rsidR="00BA4A7F" w:rsidRPr="007F6362" w:rsidRDefault="00BA4A7F" w:rsidP="00BA4A7F">
      <w:pPr>
        <w:rPr>
          <w:rFonts w:ascii="Verdana" w:hAnsi="Verdana" w:cs="Verdana"/>
          <w:b/>
          <w:bCs/>
          <w:color w:val="000000"/>
          <w:sz w:val="20"/>
          <w:szCs w:val="20"/>
        </w:rPr>
      </w:pPr>
      <w:r w:rsidRPr="007F6362">
        <w:rPr>
          <w:rFonts w:ascii="Verdana" w:hAnsi="Verdana" w:cs="Verdana"/>
          <w:b/>
          <w:bCs/>
          <w:color w:val="000000"/>
          <w:sz w:val="20"/>
          <w:szCs w:val="20"/>
        </w:rPr>
        <w:t>Observaciones:</w:t>
      </w:r>
    </w:p>
    <w:p w:rsidR="00BA4A7F" w:rsidRPr="007F6362" w:rsidRDefault="00BA4A7F" w:rsidP="00BA4A7F">
      <w:pPr>
        <w:rPr>
          <w:rFonts w:ascii="Verdana" w:hAnsi="Verdana" w:cs="Verdana"/>
          <w:b/>
          <w:bCs/>
          <w:color w:val="000000"/>
          <w:sz w:val="20"/>
          <w:szCs w:val="20"/>
        </w:rPr>
      </w:pPr>
    </w:p>
    <w:p w:rsidR="00BA4A7F" w:rsidRPr="007F6362" w:rsidRDefault="00BA4A7F" w:rsidP="00BA4A7F">
      <w:pPr>
        <w:numPr>
          <w:ilvl w:val="0"/>
          <w:numId w:val="2"/>
        </w:numPr>
        <w:rPr>
          <w:rFonts w:ascii="Verdana" w:hAnsi="Verdana" w:cs="Verdana"/>
          <w:b/>
          <w:bCs/>
          <w:color w:val="000000"/>
          <w:sz w:val="20"/>
          <w:szCs w:val="20"/>
        </w:rPr>
      </w:pPr>
      <w:r w:rsidRPr="007F6362">
        <w:rPr>
          <w:rFonts w:ascii="Verdana" w:hAnsi="Verdana" w:cs="Verdana"/>
          <w:color w:val="000000"/>
          <w:sz w:val="20"/>
          <w:szCs w:val="20"/>
        </w:rPr>
        <w:t>Para conservar la regularidad se requiere una asistencia del 80% a:</w:t>
      </w:r>
    </w:p>
    <w:p w:rsidR="00BA4A7F" w:rsidRPr="007F6362" w:rsidRDefault="00BA4A7F" w:rsidP="00BA4A7F">
      <w:pPr>
        <w:rPr>
          <w:rFonts w:ascii="Verdana" w:hAnsi="Verdana" w:cs="Verdana"/>
          <w:color w:val="000000"/>
          <w:sz w:val="20"/>
          <w:szCs w:val="20"/>
        </w:rPr>
      </w:pPr>
    </w:p>
    <w:p w:rsidR="00BA4A7F" w:rsidRPr="007F6362" w:rsidRDefault="00BA4A7F" w:rsidP="00BA4A7F">
      <w:pPr>
        <w:numPr>
          <w:ilvl w:val="1"/>
          <w:numId w:val="3"/>
        </w:numPr>
        <w:rPr>
          <w:rFonts w:ascii="Verdana" w:hAnsi="Verdana" w:cs="Verdana"/>
          <w:b/>
          <w:bCs/>
          <w:color w:val="000000"/>
          <w:sz w:val="20"/>
          <w:szCs w:val="20"/>
        </w:rPr>
      </w:pPr>
      <w:r w:rsidRPr="007F6362">
        <w:rPr>
          <w:rFonts w:ascii="Verdana" w:hAnsi="Verdana" w:cs="Verdana"/>
          <w:color w:val="000000"/>
          <w:sz w:val="20"/>
          <w:szCs w:val="20"/>
        </w:rPr>
        <w:t>1º año:</w:t>
      </w:r>
    </w:p>
    <w:p w:rsidR="00BA4A7F" w:rsidRPr="007F6362" w:rsidRDefault="00BA4A7F" w:rsidP="00BA4A7F">
      <w:pPr>
        <w:numPr>
          <w:ilvl w:val="0"/>
          <w:numId w:val="4"/>
        </w:numPr>
        <w:rPr>
          <w:rFonts w:ascii="Verdana" w:hAnsi="Verdana" w:cs="Verdana"/>
          <w:color w:val="000000"/>
          <w:sz w:val="20"/>
          <w:szCs w:val="20"/>
        </w:rPr>
      </w:pPr>
      <w:r w:rsidRPr="007F6362">
        <w:rPr>
          <w:rFonts w:ascii="Verdana" w:hAnsi="Verdana" w:cs="Verdana"/>
          <w:color w:val="000000"/>
          <w:sz w:val="20"/>
          <w:szCs w:val="20"/>
        </w:rPr>
        <w:t>Clases Teóricas correspondientes a 1º Año del Curso Regular de Medicina Homeopática</w:t>
      </w:r>
    </w:p>
    <w:p w:rsidR="00BA4A7F" w:rsidRPr="007F6362" w:rsidRDefault="00BA4A7F" w:rsidP="00BA4A7F">
      <w:pPr>
        <w:numPr>
          <w:ilvl w:val="0"/>
          <w:numId w:val="4"/>
        </w:numPr>
        <w:rPr>
          <w:rFonts w:ascii="Verdana" w:hAnsi="Verdana" w:cs="Verdana"/>
          <w:color w:val="000000"/>
          <w:sz w:val="20"/>
          <w:szCs w:val="20"/>
        </w:rPr>
      </w:pPr>
      <w:r w:rsidRPr="007F6362">
        <w:rPr>
          <w:rFonts w:ascii="Verdana" w:hAnsi="Verdana" w:cs="Verdana"/>
          <w:color w:val="000000"/>
          <w:sz w:val="20"/>
          <w:szCs w:val="20"/>
        </w:rPr>
        <w:t xml:space="preserve">Clases Prácticas en Cátedra de </w:t>
      </w:r>
      <w:proofErr w:type="spellStart"/>
      <w:r w:rsidRPr="007F6362">
        <w:rPr>
          <w:rFonts w:ascii="Verdana" w:hAnsi="Verdana" w:cs="Verdana"/>
          <w:color w:val="000000"/>
          <w:sz w:val="20"/>
          <w:szCs w:val="20"/>
        </w:rPr>
        <w:t>Odontoestomatología</w:t>
      </w:r>
      <w:proofErr w:type="spellEnd"/>
      <w:r w:rsidRPr="007F6362">
        <w:rPr>
          <w:rFonts w:ascii="Verdana" w:hAnsi="Verdana" w:cs="Verdana"/>
          <w:color w:val="000000"/>
          <w:sz w:val="20"/>
          <w:szCs w:val="20"/>
        </w:rPr>
        <w:t xml:space="preserve"> y/o Medicina y/o Consultorios de Extensión. En este último caso, sólo hasta el 30% del total de prácticos. Número mínimo de prácticos: 27 y para los residentes a más de 300 km.: 24</w:t>
      </w:r>
    </w:p>
    <w:p w:rsidR="00BA4A7F" w:rsidRPr="007F6362" w:rsidRDefault="00BA4A7F" w:rsidP="00BA4A7F">
      <w:pPr>
        <w:numPr>
          <w:ilvl w:val="0"/>
          <w:numId w:val="4"/>
        </w:numPr>
        <w:rPr>
          <w:rFonts w:ascii="Verdana" w:hAnsi="Verdana" w:cs="Verdana"/>
          <w:color w:val="000000"/>
          <w:sz w:val="20"/>
          <w:szCs w:val="20"/>
        </w:rPr>
      </w:pPr>
      <w:r w:rsidRPr="007F6362">
        <w:rPr>
          <w:rFonts w:ascii="Verdana" w:hAnsi="Verdana" w:cs="Verdana"/>
          <w:color w:val="000000"/>
          <w:sz w:val="20"/>
          <w:szCs w:val="20"/>
        </w:rPr>
        <w:t xml:space="preserve">Ateneos </w:t>
      </w:r>
    </w:p>
    <w:p w:rsidR="00BA4A7F" w:rsidRPr="007F6362" w:rsidRDefault="00BA4A7F" w:rsidP="00BA4A7F">
      <w:pPr>
        <w:numPr>
          <w:ilvl w:val="0"/>
          <w:numId w:val="4"/>
        </w:numPr>
        <w:rPr>
          <w:rFonts w:ascii="Verdana" w:hAnsi="Verdana" w:cs="Verdana"/>
          <w:color w:val="000000"/>
          <w:sz w:val="20"/>
          <w:szCs w:val="20"/>
        </w:rPr>
      </w:pPr>
      <w:r w:rsidRPr="007F6362">
        <w:rPr>
          <w:rFonts w:ascii="Verdana" w:hAnsi="Verdana" w:cs="Verdana"/>
          <w:color w:val="000000"/>
          <w:sz w:val="20"/>
          <w:szCs w:val="20"/>
        </w:rPr>
        <w:t xml:space="preserve">Presentación de dos Historias Clínicas Homeopáticas (en lo posible con patología </w:t>
      </w:r>
      <w:proofErr w:type="spellStart"/>
      <w:r w:rsidRPr="007F6362">
        <w:rPr>
          <w:rFonts w:ascii="Verdana" w:hAnsi="Verdana" w:cs="Verdana"/>
          <w:color w:val="000000"/>
          <w:sz w:val="20"/>
          <w:szCs w:val="20"/>
        </w:rPr>
        <w:t>Odontoestomatológica</w:t>
      </w:r>
      <w:proofErr w:type="spellEnd"/>
      <w:r w:rsidRPr="007F6362">
        <w:rPr>
          <w:rFonts w:ascii="Verdana" w:hAnsi="Verdana" w:cs="Verdana"/>
          <w:color w:val="000000"/>
          <w:sz w:val="20"/>
          <w:szCs w:val="20"/>
        </w:rPr>
        <w:t>), con el relato “textual” del paciente y su correspondencia con síntomas del Repertorio. El último plazo de entrega en la Secretaría de la Escuela, será el viernes 12 de septiembre de 2014. Esta historia se evaluará y tendrá un valor conceptual del alumno.</w:t>
      </w:r>
    </w:p>
    <w:p w:rsidR="00BA4A7F" w:rsidRPr="00E16E21" w:rsidRDefault="00BA4A7F" w:rsidP="00BA4A7F">
      <w:pPr>
        <w:numPr>
          <w:ilvl w:val="0"/>
          <w:numId w:val="4"/>
        </w:numPr>
        <w:rPr>
          <w:rFonts w:ascii="Verdana" w:hAnsi="Verdana" w:cs="Verdana"/>
          <w:color w:val="000000"/>
          <w:sz w:val="20"/>
          <w:szCs w:val="20"/>
        </w:rPr>
      </w:pPr>
      <w:r w:rsidRPr="007F6362">
        <w:rPr>
          <w:rFonts w:ascii="Verdana" w:hAnsi="Verdana" w:cs="Verdana"/>
          <w:color w:val="000000"/>
          <w:sz w:val="20"/>
          <w:szCs w:val="20"/>
        </w:rPr>
        <w:t>Cursado Primer Año, la regularidad se mantendrá durante 3 fechas consecutivas de exámenes: 27 y 28 de noviembre de 2015 ó 18 y 19 de marzo de 2016 ó 1° y 2 de julio de 2016.</w:t>
      </w:r>
    </w:p>
    <w:p w:rsidR="00BA4A7F" w:rsidRPr="007F6362" w:rsidRDefault="00BA4A7F" w:rsidP="00BA4A7F">
      <w:pPr>
        <w:rPr>
          <w:rFonts w:ascii="Verdana" w:hAnsi="Verdana" w:cs="Verdana"/>
          <w:color w:val="000000"/>
          <w:sz w:val="20"/>
          <w:szCs w:val="20"/>
        </w:rPr>
      </w:pPr>
    </w:p>
    <w:p w:rsidR="00BA4A7F" w:rsidRPr="007F6362" w:rsidRDefault="00BA4A7F" w:rsidP="00BA4A7F">
      <w:pPr>
        <w:numPr>
          <w:ilvl w:val="0"/>
          <w:numId w:val="5"/>
        </w:numPr>
        <w:jc w:val="both"/>
        <w:rPr>
          <w:rFonts w:ascii="Verdana" w:hAnsi="Verdana" w:cs="Verdana"/>
          <w:color w:val="000000"/>
          <w:sz w:val="20"/>
          <w:szCs w:val="20"/>
        </w:rPr>
      </w:pPr>
      <w:r w:rsidRPr="007F6362">
        <w:rPr>
          <w:rFonts w:ascii="Verdana" w:hAnsi="Verdana" w:cs="Verdana"/>
          <w:color w:val="000000"/>
          <w:sz w:val="20"/>
          <w:szCs w:val="20"/>
        </w:rPr>
        <w:t>2º año:</w:t>
      </w:r>
    </w:p>
    <w:p w:rsidR="00BA4A7F" w:rsidRPr="007F6362" w:rsidRDefault="00BA4A7F" w:rsidP="00BA4A7F">
      <w:pPr>
        <w:ind w:left="708"/>
        <w:jc w:val="both"/>
        <w:rPr>
          <w:rFonts w:ascii="Verdana" w:hAnsi="Verdana" w:cs="Verdana"/>
          <w:color w:val="000000"/>
          <w:sz w:val="20"/>
          <w:szCs w:val="20"/>
        </w:rPr>
      </w:pPr>
      <w:r w:rsidRPr="007F6362">
        <w:rPr>
          <w:rFonts w:ascii="Verdana" w:hAnsi="Verdana" w:cs="Verdana"/>
          <w:color w:val="000000"/>
          <w:sz w:val="20"/>
          <w:szCs w:val="20"/>
        </w:rPr>
        <w:t xml:space="preserve">a) Clases Teóricas correspondientes a 2º Año del Curso Regular de Medicina  </w:t>
      </w:r>
    </w:p>
    <w:p w:rsidR="00BA4A7F" w:rsidRPr="007F6362" w:rsidRDefault="00BA4A7F" w:rsidP="00BA4A7F">
      <w:pPr>
        <w:ind w:left="708"/>
        <w:jc w:val="both"/>
        <w:rPr>
          <w:rFonts w:ascii="Verdana" w:hAnsi="Verdana" w:cs="Verdana"/>
          <w:color w:val="000000"/>
          <w:sz w:val="20"/>
          <w:szCs w:val="20"/>
        </w:rPr>
      </w:pPr>
      <w:r w:rsidRPr="007F6362">
        <w:rPr>
          <w:rFonts w:ascii="Verdana" w:hAnsi="Verdana" w:cs="Verdana"/>
          <w:color w:val="000000"/>
          <w:sz w:val="20"/>
          <w:szCs w:val="20"/>
        </w:rPr>
        <w:t xml:space="preserve">     Homeopática y las específicas de la especialidad (ver programa del Curso Regular de Medicina) </w:t>
      </w:r>
    </w:p>
    <w:p w:rsidR="00BA4A7F" w:rsidRPr="007F6362" w:rsidRDefault="00BA4A7F" w:rsidP="00BA4A7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Clases Prácticas en Cátedra de </w:t>
      </w:r>
      <w:proofErr w:type="spellStart"/>
      <w:r w:rsidRPr="007F6362">
        <w:rPr>
          <w:rFonts w:ascii="Verdana" w:hAnsi="Verdana" w:cs="Verdana"/>
          <w:color w:val="000000"/>
          <w:sz w:val="20"/>
          <w:szCs w:val="20"/>
        </w:rPr>
        <w:t>Odontoestomatología</w:t>
      </w:r>
      <w:proofErr w:type="spellEnd"/>
      <w:r w:rsidRPr="007F6362">
        <w:rPr>
          <w:rFonts w:ascii="Verdana" w:hAnsi="Verdana" w:cs="Verdana"/>
          <w:color w:val="000000"/>
          <w:sz w:val="20"/>
          <w:szCs w:val="20"/>
        </w:rPr>
        <w:t xml:space="preserve"> y/o Medicina y/o Consultorios de Extensión. En este último caso, sólo hasta el 30% del total de prácticos. Número mínimo de prácticos: 27 y para los residentes de  más de 300 km.: 24</w:t>
      </w:r>
    </w:p>
    <w:p w:rsidR="00BA4A7F" w:rsidRPr="007F6362" w:rsidRDefault="00BA4A7F" w:rsidP="00BA4A7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Ateneos</w:t>
      </w:r>
    </w:p>
    <w:p w:rsidR="00BA4A7F" w:rsidRPr="007F6362" w:rsidRDefault="00BA4A7F" w:rsidP="00BA4A7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 xml:space="preserve">Será obligatoria la presentación de un trabajo de Investigación Bibliográfica, cuyo tema será asignado por el Director de la Escuela. Dicho trabajo constará de no menos de 5 páginas y  no más de 10. El último plazo de entrega en la Secretaría de la Escuela, será el </w:t>
      </w:r>
      <w:r w:rsidRPr="007F6362">
        <w:rPr>
          <w:rFonts w:ascii="Verdana" w:hAnsi="Verdana" w:cs="Verdana"/>
          <w:sz w:val="20"/>
          <w:szCs w:val="20"/>
        </w:rPr>
        <w:t>viernes 16</w:t>
      </w:r>
      <w:r w:rsidRPr="007F6362">
        <w:rPr>
          <w:rFonts w:ascii="Verdana" w:hAnsi="Verdana" w:cs="Verdana"/>
          <w:color w:val="000000"/>
          <w:sz w:val="20"/>
          <w:szCs w:val="20"/>
        </w:rPr>
        <w:t xml:space="preserve"> de octubre de 2015, </w:t>
      </w:r>
      <w:r w:rsidRPr="007F6362">
        <w:rPr>
          <w:rFonts w:ascii="Verdana" w:hAnsi="Verdana" w:cs="Verdana"/>
          <w:sz w:val="20"/>
          <w:szCs w:val="20"/>
        </w:rPr>
        <w:t>pero deberá ser entregado al tutor para su supervisión, hasta el viernes 18 de septiembre</w:t>
      </w:r>
      <w:r w:rsidRPr="007F6362">
        <w:rPr>
          <w:rFonts w:ascii="Verdana" w:hAnsi="Verdana" w:cs="Verdana"/>
          <w:color w:val="000000"/>
          <w:sz w:val="20"/>
          <w:szCs w:val="20"/>
        </w:rPr>
        <w:t>. Su calificación se promediará con el examen final.</w:t>
      </w:r>
    </w:p>
    <w:p w:rsidR="00BA4A7F" w:rsidRPr="007F6362" w:rsidRDefault="00BA4A7F" w:rsidP="00BA4A7F">
      <w:pPr>
        <w:numPr>
          <w:ilvl w:val="0"/>
          <w:numId w:val="1"/>
        </w:numPr>
        <w:jc w:val="both"/>
        <w:rPr>
          <w:rFonts w:ascii="Verdana" w:hAnsi="Verdana" w:cs="Verdana"/>
          <w:color w:val="000000"/>
          <w:sz w:val="20"/>
          <w:szCs w:val="20"/>
        </w:rPr>
      </w:pPr>
      <w:r w:rsidRPr="007F6362">
        <w:rPr>
          <w:rFonts w:ascii="Verdana" w:hAnsi="Verdana" w:cs="Verdana"/>
          <w:color w:val="000000"/>
          <w:sz w:val="20"/>
          <w:szCs w:val="20"/>
        </w:rPr>
        <w:t>Cursado Segundo Año, la regularidad se mantendrá por tres fechas consecutivas de exámenes: 27 y 28 de noviembre de 2015 ó 18 y 19 de marzo de 2016 ó 1° y 2 de julio de 2016.</w:t>
      </w:r>
    </w:p>
    <w:p w:rsidR="00BA4A7F" w:rsidRPr="007F6362" w:rsidRDefault="00BA4A7F" w:rsidP="00BA4A7F">
      <w:pPr>
        <w:ind w:left="708"/>
        <w:jc w:val="both"/>
        <w:rPr>
          <w:rFonts w:ascii="Verdana" w:hAnsi="Verdana" w:cs="Verdana"/>
          <w:color w:val="000000"/>
          <w:sz w:val="20"/>
          <w:szCs w:val="20"/>
        </w:rPr>
      </w:pPr>
    </w:p>
    <w:p w:rsidR="00BA4A7F" w:rsidRPr="007F6362" w:rsidRDefault="00BA4A7F" w:rsidP="00BA4A7F">
      <w:pPr>
        <w:numPr>
          <w:ilvl w:val="0"/>
          <w:numId w:val="2"/>
        </w:numPr>
        <w:jc w:val="both"/>
        <w:rPr>
          <w:rFonts w:ascii="Verdana" w:hAnsi="Verdana" w:cs="Verdana"/>
          <w:color w:val="000000"/>
          <w:sz w:val="20"/>
          <w:szCs w:val="20"/>
        </w:rPr>
      </w:pPr>
      <w:r w:rsidRPr="007F6362">
        <w:rPr>
          <w:rFonts w:ascii="Verdana" w:hAnsi="Verdana" w:cs="Verdana"/>
          <w:color w:val="000000"/>
          <w:sz w:val="20"/>
          <w:szCs w:val="20"/>
        </w:rPr>
        <w:lastRenderedPageBreak/>
        <w:t xml:space="preserve">Para los alumnos de 1º año de </w:t>
      </w:r>
      <w:proofErr w:type="spellStart"/>
      <w:r w:rsidRPr="007F6362">
        <w:rPr>
          <w:rFonts w:ascii="Verdana" w:hAnsi="Verdana" w:cs="Verdana"/>
          <w:color w:val="000000"/>
          <w:sz w:val="20"/>
          <w:szCs w:val="20"/>
        </w:rPr>
        <w:t>Odontoloestomatología</w:t>
      </w:r>
      <w:proofErr w:type="spellEnd"/>
      <w:r w:rsidRPr="007F6362">
        <w:rPr>
          <w:rFonts w:ascii="Verdana" w:hAnsi="Verdana" w:cs="Verdana"/>
          <w:color w:val="000000"/>
          <w:sz w:val="20"/>
          <w:szCs w:val="20"/>
        </w:rPr>
        <w:t xml:space="preserve"> Homeopática el examen final comprenderá los temas desarrollados en 1º año, más la evaluación de las dos Historias Clínicas presentadas.</w:t>
      </w:r>
    </w:p>
    <w:p w:rsidR="00BA4A7F" w:rsidRPr="007F6362" w:rsidRDefault="00BA4A7F" w:rsidP="00BA4A7F">
      <w:pPr>
        <w:jc w:val="both"/>
        <w:rPr>
          <w:rFonts w:ascii="Verdana" w:hAnsi="Verdana" w:cs="Verdana"/>
          <w:color w:val="000000"/>
          <w:sz w:val="20"/>
          <w:szCs w:val="20"/>
        </w:rPr>
      </w:pPr>
    </w:p>
    <w:p w:rsidR="00BA4A7F" w:rsidRPr="007F6362" w:rsidRDefault="00BA4A7F" w:rsidP="00BA4A7F">
      <w:pPr>
        <w:numPr>
          <w:ilvl w:val="0"/>
          <w:numId w:val="2"/>
        </w:numPr>
        <w:jc w:val="both"/>
        <w:rPr>
          <w:rFonts w:ascii="Verdana" w:hAnsi="Verdana" w:cs="Verdana"/>
          <w:color w:val="000000"/>
          <w:sz w:val="20"/>
          <w:szCs w:val="20"/>
        </w:rPr>
      </w:pPr>
      <w:r w:rsidRPr="007F6362">
        <w:rPr>
          <w:rFonts w:ascii="Verdana" w:hAnsi="Verdana" w:cs="Verdana"/>
          <w:color w:val="000000"/>
          <w:sz w:val="20"/>
          <w:szCs w:val="20"/>
        </w:rPr>
        <w:t xml:space="preserve">Para los alumnos de 2º año de </w:t>
      </w:r>
      <w:proofErr w:type="spellStart"/>
      <w:r w:rsidRPr="007F6362">
        <w:rPr>
          <w:rFonts w:ascii="Verdana" w:hAnsi="Verdana" w:cs="Verdana"/>
          <w:color w:val="000000"/>
          <w:sz w:val="20"/>
          <w:szCs w:val="20"/>
        </w:rPr>
        <w:t>Odontoestomatología</w:t>
      </w:r>
      <w:proofErr w:type="spellEnd"/>
      <w:r w:rsidRPr="007F6362">
        <w:rPr>
          <w:rFonts w:ascii="Verdana" w:hAnsi="Verdana" w:cs="Verdana"/>
          <w:color w:val="000000"/>
          <w:sz w:val="20"/>
          <w:szCs w:val="20"/>
        </w:rPr>
        <w:t xml:space="preserve"> Homeopática el examen final comprenderá los temas desarrollados en 2º año, más la evaluación del trabajo de Investigación Bibliográfica. Aquellos alumnos que hayan cursado el Primer Año en la A.M.H.A. y hayan obtenido la regularidad, pero no hayan dado el examen final, podrán comenzar el Segundo Año en forma condicional. Tendrán como último plazo para aprobar el examen final, el turno del 3 y 4 de julio de 2015.</w:t>
      </w:r>
    </w:p>
    <w:p w:rsidR="00BA4A7F" w:rsidRPr="007F6362" w:rsidRDefault="00BA4A7F" w:rsidP="00BA4A7F">
      <w:pPr>
        <w:rPr>
          <w:rFonts w:ascii="Verdana" w:hAnsi="Verdana" w:cs="Verdana"/>
          <w:sz w:val="20"/>
          <w:szCs w:val="20"/>
        </w:rPr>
      </w:pPr>
    </w:p>
    <w:p w:rsidR="00403C1A" w:rsidRDefault="00403C1A"/>
    <w:sectPr w:rsidR="00403C1A" w:rsidSect="00403C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96015"/>
    <w:multiLevelType w:val="hybridMultilevel"/>
    <w:tmpl w:val="955C68B0"/>
    <w:lvl w:ilvl="0" w:tplc="3CB0A7DE">
      <w:start w:val="1"/>
      <w:numFmt w:val="bullet"/>
      <w:lvlText w:val=""/>
      <w:lvlJc w:val="left"/>
      <w:pPr>
        <w:tabs>
          <w:tab w:val="num" w:pos="57"/>
        </w:tabs>
        <w:ind w:left="340" w:hanging="227"/>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1BB109C8"/>
    <w:multiLevelType w:val="hybridMultilevel"/>
    <w:tmpl w:val="E01A09CC"/>
    <w:lvl w:ilvl="0" w:tplc="7654D6AA">
      <w:start w:val="1"/>
      <w:numFmt w:val="lowerLetter"/>
      <w:lvlText w:val="%1)"/>
      <w:lvlJc w:val="left"/>
      <w:pPr>
        <w:tabs>
          <w:tab w:val="num" w:pos="980"/>
        </w:tabs>
        <w:ind w:left="980" w:hanging="272"/>
      </w:pPr>
      <w:rPr>
        <w:rFonts w:cs="Times New Roman"/>
      </w:rPr>
    </w:lvl>
    <w:lvl w:ilvl="1" w:tplc="3CB0A7DE">
      <w:start w:val="1"/>
      <w:numFmt w:val="bullet"/>
      <w:lvlText w:val=""/>
      <w:lvlJc w:val="left"/>
      <w:pPr>
        <w:tabs>
          <w:tab w:val="num" w:pos="1372"/>
        </w:tabs>
        <w:ind w:left="1655" w:hanging="227"/>
      </w:pPr>
      <w:rPr>
        <w:rFonts w:ascii="Symbol" w:hAnsi="Symbol" w:hint="default"/>
      </w:rPr>
    </w:lvl>
    <w:lvl w:ilvl="2" w:tplc="0C0A001B">
      <w:start w:val="1"/>
      <w:numFmt w:val="lowerRoman"/>
      <w:lvlText w:val="%3."/>
      <w:lvlJc w:val="right"/>
      <w:pPr>
        <w:tabs>
          <w:tab w:val="num" w:pos="2508"/>
        </w:tabs>
        <w:ind w:left="2508" w:hanging="180"/>
      </w:pPr>
      <w:rPr>
        <w:rFonts w:cs="Times New Roman"/>
      </w:rPr>
    </w:lvl>
    <w:lvl w:ilvl="3" w:tplc="0C0A000F">
      <w:start w:val="1"/>
      <w:numFmt w:val="decimal"/>
      <w:lvlText w:val="%4."/>
      <w:lvlJc w:val="left"/>
      <w:pPr>
        <w:tabs>
          <w:tab w:val="num" w:pos="3228"/>
        </w:tabs>
        <w:ind w:left="3228" w:hanging="360"/>
      </w:pPr>
      <w:rPr>
        <w:rFonts w:cs="Times New Roman"/>
      </w:rPr>
    </w:lvl>
    <w:lvl w:ilvl="4" w:tplc="0C0A0019">
      <w:start w:val="1"/>
      <w:numFmt w:val="lowerLetter"/>
      <w:lvlText w:val="%5."/>
      <w:lvlJc w:val="left"/>
      <w:pPr>
        <w:tabs>
          <w:tab w:val="num" w:pos="3948"/>
        </w:tabs>
        <w:ind w:left="3948" w:hanging="360"/>
      </w:pPr>
      <w:rPr>
        <w:rFonts w:cs="Times New Roman"/>
      </w:rPr>
    </w:lvl>
    <w:lvl w:ilvl="5" w:tplc="0C0A001B">
      <w:start w:val="1"/>
      <w:numFmt w:val="lowerRoman"/>
      <w:lvlText w:val="%6."/>
      <w:lvlJc w:val="right"/>
      <w:pPr>
        <w:tabs>
          <w:tab w:val="num" w:pos="4668"/>
        </w:tabs>
        <w:ind w:left="4668" w:hanging="180"/>
      </w:pPr>
      <w:rPr>
        <w:rFonts w:cs="Times New Roman"/>
      </w:rPr>
    </w:lvl>
    <w:lvl w:ilvl="6" w:tplc="0C0A000F">
      <w:start w:val="1"/>
      <w:numFmt w:val="decimal"/>
      <w:lvlText w:val="%7."/>
      <w:lvlJc w:val="left"/>
      <w:pPr>
        <w:tabs>
          <w:tab w:val="num" w:pos="5388"/>
        </w:tabs>
        <w:ind w:left="5388" w:hanging="360"/>
      </w:pPr>
      <w:rPr>
        <w:rFonts w:cs="Times New Roman"/>
      </w:rPr>
    </w:lvl>
    <w:lvl w:ilvl="7" w:tplc="0C0A0019">
      <w:start w:val="1"/>
      <w:numFmt w:val="lowerLetter"/>
      <w:lvlText w:val="%8."/>
      <w:lvlJc w:val="left"/>
      <w:pPr>
        <w:tabs>
          <w:tab w:val="num" w:pos="6108"/>
        </w:tabs>
        <w:ind w:left="6108" w:hanging="360"/>
      </w:pPr>
      <w:rPr>
        <w:rFonts w:cs="Times New Roman"/>
      </w:rPr>
    </w:lvl>
    <w:lvl w:ilvl="8" w:tplc="0C0A001B">
      <w:start w:val="1"/>
      <w:numFmt w:val="lowerRoman"/>
      <w:lvlText w:val="%9."/>
      <w:lvlJc w:val="right"/>
      <w:pPr>
        <w:tabs>
          <w:tab w:val="num" w:pos="6828"/>
        </w:tabs>
        <w:ind w:left="6828" w:hanging="180"/>
      </w:pPr>
      <w:rPr>
        <w:rFonts w:cs="Times New Roman"/>
      </w:rPr>
    </w:lvl>
  </w:abstractNum>
  <w:abstractNum w:abstractNumId="2">
    <w:nsid w:val="55170A30"/>
    <w:multiLevelType w:val="hybridMultilevel"/>
    <w:tmpl w:val="EE04AA6C"/>
    <w:lvl w:ilvl="0" w:tplc="A3381DF2">
      <w:start w:val="3"/>
      <w:numFmt w:val="lowerLetter"/>
      <w:lvlText w:val="%1)"/>
      <w:lvlJc w:val="left"/>
      <w:pPr>
        <w:tabs>
          <w:tab w:val="num" w:pos="1068"/>
        </w:tabs>
        <w:ind w:left="1068" w:hanging="360"/>
      </w:pPr>
      <w:rPr>
        <w:rFonts w:cs="Times New Roman"/>
      </w:rPr>
    </w:lvl>
    <w:lvl w:ilvl="1" w:tplc="2C0A0019">
      <w:start w:val="1"/>
      <w:numFmt w:val="lowerLetter"/>
      <w:lvlText w:val="%2."/>
      <w:lvlJc w:val="left"/>
      <w:pPr>
        <w:tabs>
          <w:tab w:val="num" w:pos="1788"/>
        </w:tabs>
        <w:ind w:left="1788" w:hanging="360"/>
      </w:pPr>
      <w:rPr>
        <w:rFonts w:cs="Times New Roman"/>
      </w:rPr>
    </w:lvl>
    <w:lvl w:ilvl="2" w:tplc="2C0A001B">
      <w:start w:val="1"/>
      <w:numFmt w:val="lowerRoman"/>
      <w:lvlText w:val="%3."/>
      <w:lvlJc w:val="right"/>
      <w:pPr>
        <w:tabs>
          <w:tab w:val="num" w:pos="2508"/>
        </w:tabs>
        <w:ind w:left="2508" w:hanging="180"/>
      </w:pPr>
      <w:rPr>
        <w:rFonts w:cs="Times New Roman"/>
      </w:rPr>
    </w:lvl>
    <w:lvl w:ilvl="3" w:tplc="2C0A000F">
      <w:start w:val="1"/>
      <w:numFmt w:val="decimal"/>
      <w:lvlText w:val="%4."/>
      <w:lvlJc w:val="left"/>
      <w:pPr>
        <w:tabs>
          <w:tab w:val="num" w:pos="3228"/>
        </w:tabs>
        <w:ind w:left="3228" w:hanging="360"/>
      </w:pPr>
      <w:rPr>
        <w:rFonts w:cs="Times New Roman"/>
      </w:rPr>
    </w:lvl>
    <w:lvl w:ilvl="4" w:tplc="2C0A0019">
      <w:start w:val="1"/>
      <w:numFmt w:val="lowerLetter"/>
      <w:lvlText w:val="%5."/>
      <w:lvlJc w:val="left"/>
      <w:pPr>
        <w:tabs>
          <w:tab w:val="num" w:pos="3948"/>
        </w:tabs>
        <w:ind w:left="3948" w:hanging="360"/>
      </w:pPr>
      <w:rPr>
        <w:rFonts w:cs="Times New Roman"/>
      </w:rPr>
    </w:lvl>
    <w:lvl w:ilvl="5" w:tplc="2C0A001B">
      <w:start w:val="1"/>
      <w:numFmt w:val="lowerRoman"/>
      <w:lvlText w:val="%6."/>
      <w:lvlJc w:val="right"/>
      <w:pPr>
        <w:tabs>
          <w:tab w:val="num" w:pos="4668"/>
        </w:tabs>
        <w:ind w:left="4668" w:hanging="180"/>
      </w:pPr>
      <w:rPr>
        <w:rFonts w:cs="Times New Roman"/>
      </w:rPr>
    </w:lvl>
    <w:lvl w:ilvl="6" w:tplc="2C0A000F">
      <w:start w:val="1"/>
      <w:numFmt w:val="decimal"/>
      <w:lvlText w:val="%7."/>
      <w:lvlJc w:val="left"/>
      <w:pPr>
        <w:tabs>
          <w:tab w:val="num" w:pos="5388"/>
        </w:tabs>
        <w:ind w:left="5388" w:hanging="360"/>
      </w:pPr>
      <w:rPr>
        <w:rFonts w:cs="Times New Roman"/>
      </w:rPr>
    </w:lvl>
    <w:lvl w:ilvl="7" w:tplc="2C0A0019">
      <w:start w:val="1"/>
      <w:numFmt w:val="lowerLetter"/>
      <w:lvlText w:val="%8."/>
      <w:lvlJc w:val="left"/>
      <w:pPr>
        <w:tabs>
          <w:tab w:val="num" w:pos="6108"/>
        </w:tabs>
        <w:ind w:left="6108" w:hanging="360"/>
      </w:pPr>
      <w:rPr>
        <w:rFonts w:cs="Times New Roman"/>
      </w:rPr>
    </w:lvl>
    <w:lvl w:ilvl="8" w:tplc="2C0A001B">
      <w:start w:val="1"/>
      <w:numFmt w:val="lowerRoman"/>
      <w:lvlText w:val="%9."/>
      <w:lvlJc w:val="right"/>
      <w:pPr>
        <w:tabs>
          <w:tab w:val="num" w:pos="6828"/>
        </w:tabs>
        <w:ind w:left="6828" w:hanging="180"/>
      </w:pPr>
      <w:rPr>
        <w:rFonts w:cs="Times New Roman"/>
      </w:rPr>
    </w:lvl>
  </w:abstractNum>
  <w:abstractNum w:abstractNumId="3">
    <w:nsid w:val="582F46A7"/>
    <w:multiLevelType w:val="multilevel"/>
    <w:tmpl w:val="7992764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66077590"/>
    <w:multiLevelType w:val="hybridMultilevel"/>
    <w:tmpl w:val="09F2F366"/>
    <w:lvl w:ilvl="0" w:tplc="2C0A000B">
      <w:start w:val="1"/>
      <w:numFmt w:val="bullet"/>
      <w:lvlText w:val=""/>
      <w:lvlJc w:val="left"/>
      <w:pPr>
        <w:tabs>
          <w:tab w:val="num" w:pos="720"/>
        </w:tabs>
        <w:ind w:left="720" w:hanging="360"/>
      </w:pPr>
      <w:rPr>
        <w:rFonts w:ascii="Wingdings" w:hAnsi="Wingdings" w:hint="default"/>
      </w:rPr>
    </w:lvl>
    <w:lvl w:ilvl="1" w:tplc="2C0A0017">
      <w:start w:val="1"/>
      <w:numFmt w:val="lowerLetter"/>
      <w:lvlText w:val="%2)"/>
      <w:lvlJc w:val="left"/>
      <w:pPr>
        <w:tabs>
          <w:tab w:val="num" w:pos="1440"/>
        </w:tabs>
        <w:ind w:left="1440" w:hanging="360"/>
      </w:pPr>
      <w:rPr>
        <w:rFonts w:cs="Times New Roman"/>
      </w:rPr>
    </w:lvl>
    <w:lvl w:ilvl="2" w:tplc="2C0A0005">
      <w:start w:val="1"/>
      <w:numFmt w:val="bullet"/>
      <w:lvlText w:val=""/>
      <w:lvlJc w:val="left"/>
      <w:pPr>
        <w:tabs>
          <w:tab w:val="num" w:pos="2160"/>
        </w:tabs>
        <w:ind w:left="2160" w:hanging="360"/>
      </w:pPr>
      <w:rPr>
        <w:rFonts w:ascii="Wingdings" w:hAnsi="Wingdings" w:hint="default"/>
      </w:rPr>
    </w:lvl>
    <w:lvl w:ilvl="3" w:tplc="2C0A0001">
      <w:start w:val="1"/>
      <w:numFmt w:val="bullet"/>
      <w:lvlText w:val=""/>
      <w:lvlJc w:val="left"/>
      <w:pPr>
        <w:tabs>
          <w:tab w:val="num" w:pos="2880"/>
        </w:tabs>
        <w:ind w:left="2880" w:hanging="360"/>
      </w:pPr>
      <w:rPr>
        <w:rFonts w:ascii="Symbol" w:hAnsi="Symbol" w:hint="default"/>
      </w:rPr>
    </w:lvl>
    <w:lvl w:ilvl="4" w:tplc="2C0A0003">
      <w:start w:val="1"/>
      <w:numFmt w:val="bullet"/>
      <w:lvlText w:val="o"/>
      <w:lvlJc w:val="left"/>
      <w:pPr>
        <w:tabs>
          <w:tab w:val="num" w:pos="3600"/>
        </w:tabs>
        <w:ind w:left="3600" w:hanging="360"/>
      </w:pPr>
      <w:rPr>
        <w:rFonts w:ascii="Courier New" w:hAnsi="Courier New" w:hint="default"/>
      </w:rPr>
    </w:lvl>
    <w:lvl w:ilvl="5" w:tplc="2C0A0005">
      <w:start w:val="1"/>
      <w:numFmt w:val="bullet"/>
      <w:lvlText w:val=""/>
      <w:lvlJc w:val="left"/>
      <w:pPr>
        <w:tabs>
          <w:tab w:val="num" w:pos="4320"/>
        </w:tabs>
        <w:ind w:left="4320" w:hanging="360"/>
      </w:pPr>
      <w:rPr>
        <w:rFonts w:ascii="Wingdings" w:hAnsi="Wingdings" w:hint="default"/>
      </w:rPr>
    </w:lvl>
    <w:lvl w:ilvl="6" w:tplc="2C0A0001">
      <w:start w:val="1"/>
      <w:numFmt w:val="bullet"/>
      <w:lvlText w:val=""/>
      <w:lvlJc w:val="left"/>
      <w:pPr>
        <w:tabs>
          <w:tab w:val="num" w:pos="5040"/>
        </w:tabs>
        <w:ind w:left="5040" w:hanging="360"/>
      </w:pPr>
      <w:rPr>
        <w:rFonts w:ascii="Symbol" w:hAnsi="Symbol" w:hint="default"/>
      </w:rPr>
    </w:lvl>
    <w:lvl w:ilvl="7" w:tplc="2C0A0003">
      <w:start w:val="1"/>
      <w:numFmt w:val="bullet"/>
      <w:lvlText w:val="o"/>
      <w:lvlJc w:val="left"/>
      <w:pPr>
        <w:tabs>
          <w:tab w:val="num" w:pos="5760"/>
        </w:tabs>
        <w:ind w:left="5760" w:hanging="360"/>
      </w:pPr>
      <w:rPr>
        <w:rFonts w:ascii="Courier New" w:hAnsi="Courier New" w:hint="default"/>
      </w:rPr>
    </w:lvl>
    <w:lvl w:ilvl="8" w:tplc="2C0A0005">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4A7F"/>
    <w:rsid w:val="00403C1A"/>
    <w:rsid w:val="00BA4A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7F"/>
    <w:pPr>
      <w:spacing w:after="0" w:line="240" w:lineRule="auto"/>
    </w:pPr>
    <w:rPr>
      <w:rFonts w:ascii="Times New Roman" w:eastAsia="MS ??"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957</Words>
  <Characters>5265</Characters>
  <Application>Microsoft Office Word</Application>
  <DocSecurity>0</DocSecurity>
  <Lines>43</Lines>
  <Paragraphs>12</Paragraphs>
  <ScaleCrop>false</ScaleCrop>
  <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1</cp:revision>
  <dcterms:created xsi:type="dcterms:W3CDTF">2014-12-16T18:02:00Z</dcterms:created>
  <dcterms:modified xsi:type="dcterms:W3CDTF">2014-12-16T18:03:00Z</dcterms:modified>
</cp:coreProperties>
</file>