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notes: Contoso Retail SAP move</w:t>
      </w:r>
    </w:p>
    <w:p>
      <w:r>
        <w:t>Date: 15 October 2026    Seller: Priya Nair (Ingram Micro)    Customer: Ravi Menon (CIO), Anita Desai (SAP Basis Lead)</w:t>
      </w:r>
    </w:p>
    <w:p>
      <w:r>
        <w:t>Contoso Retail confirmed they want to move SAP ECC 6.0 to AWS in Mumbai (ap-south-1). Anita counted 45 servers, not the 40 in the earlier estimate, and the HANA database is now about 14 TB.</w:t>
      </w:r>
    </w:p>
    <w:p>
      <w:r>
        <w:t>The hardware refresh deadline moved: the CIO now wants the migration finished by the end of Q2 2027.</w:t>
      </w:r>
    </w:p>
    <w:p>
      <w:r>
        <w:t>They want SAP on AWS with a later S/4HANA conversion, and expect around USD 60,000 per month of AWS spend after go-live. They asked about MAP funding for the assess phase. Disaster recovery target: RPO 15 minutes, RTO 4 hours.</w:t>
      </w:r>
    </w:p>
    <w:p>
      <w:r>
        <w:t>Next step: Aivar to run a migration readiness assessment workshop in November.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