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Call notes: Tailspin Toys</w:t>
      </w:r>
    </w:p>
    <w:p>
      <w:r>
        <w:t>Date: 14 October 2026    Seller: Priya Nair (Ingram Micro)    Attendees: Daniel Weber (CTO, Tailspin Toys), Sophie Klein (IT Operations Lead)</w:t>
      </w:r>
    </w:p>
    <w:p>
      <w:pPr>
        <w:pStyle w:val="Heading2"/>
      </w:pPr>
      <w:r>
        <w:t>Background</w:t>
      </w:r>
    </w:p>
    <w:p>
      <w:r>
        <w:t>Tailspin Toys is a toy manufacturer and online retailer based in Frankfurt with about 1,200 employees. They run 60 Windows Server VMs and SQL Server 2014 in a colocation facility in Frankfurt.</w:t>
      </w:r>
    </w:p>
    <w:p>
      <w:r>
        <w:t>The colocation contract renews in September 2027 and they do not want to sign another three-year term.</w:t>
      </w:r>
    </w:p>
    <w:p>
      <w:pPr>
        <w:pStyle w:val="Heading2"/>
      </w:pPr>
      <w:r>
        <w:t>What they need</w:t>
      </w:r>
    </w:p>
    <w:p>
      <w:pPr>
        <w:pStyle w:val="ListBullet"/>
      </w:pPr>
      <w:r>
        <w:t>Move the ERP, e-commerce platform and file servers to AWS eu-central-1 (Frankfurt).</w:t>
      </w:r>
    </w:p>
    <w:p>
      <w:pPr>
        <w:pStyle w:val="ListBullet"/>
      </w:pPr>
      <w:r>
        <w:t>SQL Server 2014 is out of support; they are open to Amazon RDS for SQL Server.</w:t>
      </w:r>
    </w:p>
    <w:p>
      <w:pPr>
        <w:pStyle w:val="ListBullet"/>
      </w:pPr>
      <w:r>
        <w:t>The e-commerce site peaks during the Christmas season at about 5x normal traffic.</w:t>
      </w:r>
    </w:p>
    <w:p>
      <w:pPr>
        <w:pStyle w:val="ListBullet"/>
      </w:pPr>
      <w:r>
        <w:t>Data must stay in the EU for GDPR.</w:t>
      </w:r>
    </w:p>
    <w:p>
      <w:pPr>
        <w:pStyle w:val="Heading2"/>
      </w:pPr>
      <w:r>
        <w:t>Current estate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Workload</w:t>
            </w:r>
          </w:p>
        </w:tc>
        <w:tc>
          <w:tcPr>
            <w:tcW w:type="dxa" w:w="2880"/>
          </w:tcPr>
          <w:p>
            <w:r>
              <w:t>Servers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ERP (Microsoft Dynamics NAV)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Heavily customised</w:t>
            </w:r>
          </w:p>
        </w:tc>
      </w:tr>
      <w:tr>
        <w:tc>
          <w:tcPr>
            <w:tcW w:type="dxa" w:w="2880"/>
          </w:tcPr>
          <w:p>
            <w:r>
              <w:t>E-commerce (Magento)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Peaks 5x in December</w:t>
            </w:r>
          </w:p>
        </w:tc>
      </w:tr>
      <w:tr>
        <w:tc>
          <w:tcPr>
            <w:tcW w:type="dxa" w:w="2880"/>
          </w:tcPr>
          <w:p>
            <w:r>
              <w:t>File and print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About 6 TB</w:t>
            </w:r>
          </w:p>
        </w:tc>
      </w:tr>
      <w:tr>
        <w:tc>
          <w:tcPr>
            <w:tcW w:type="dxa" w:w="2880"/>
          </w:tcPr>
          <w:p>
            <w:r>
              <w:t>SQL Server 2014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Shared by ERP and e-commerce</w:t>
            </w:r>
          </w:p>
        </w:tc>
      </w:tr>
    </w:tbl>
    <w:p>
      <w:pPr>
        <w:pStyle w:val="Heading2"/>
      </w:pPr>
      <w:r>
        <w:t>Open points</w:t>
      </w:r>
    </w:p>
    <w:p>
      <w:r>
        <w:t>Budget has not been confirmed. Daniel will check with the CFO. They have not worked with an AWS partner before and asked whether AWS can fund part of the assessment.</w:t>
      </w:r>
    </w:p>
    <w:p>
      <w:pPr>
        <w:pStyle w:val="Heading2"/>
      </w:pPr>
      <w:r>
        <w:t>Next step</w:t>
      </w:r>
    </w:p>
    <w:p>
      <w:r>
        <w:t>Send a proposal for a migration readiness assessment by 28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