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FC6" w:rsidRPr="00CA7FC6" w:rsidRDefault="00CA7FC6" w:rsidP="00CA7FC6">
      <w:pPr>
        <w:pStyle w:val="1"/>
        <w:jc w:val="center"/>
      </w:pPr>
      <w:r>
        <w:rPr>
          <w:lang w:val="en-US"/>
        </w:rPr>
        <w:t>IGT</w:t>
      </w:r>
      <w:r>
        <w:t>-биржа</w:t>
      </w:r>
      <w:bookmarkStart w:id="0" w:name="_GoBack"/>
      <w:bookmarkEnd w:id="0"/>
    </w:p>
    <w:p w:rsidR="00DF75D9" w:rsidRDefault="00E80469">
      <w:r>
        <w:t xml:space="preserve">Контракт </w:t>
      </w:r>
      <w:proofErr w:type="spellStart"/>
      <w:r>
        <w:t>Краудсейла</w:t>
      </w:r>
      <w:proofErr w:type="spellEnd"/>
      <w:r>
        <w:t xml:space="preserve"> и токена – вопросы.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387"/>
        <w:gridCol w:w="3164"/>
        <w:gridCol w:w="2794"/>
      </w:tblGrid>
      <w:tr w:rsidR="00DF75D9">
        <w:trPr>
          <w:trHeight w:val="25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jc w:val="center"/>
            </w:pPr>
            <w:r>
              <w:rPr>
                <w:b/>
                <w:bCs/>
              </w:rPr>
              <w:t>Вопрос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(пример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ответа)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Ваш вариант</w:t>
            </w:r>
          </w:p>
        </w:tc>
      </w:tr>
      <w:tr w:rsidR="00DF75D9">
        <w:trPr>
          <w:trHeight w:val="25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Наименование токена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Vasiliy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Pupkin</w:t>
            </w:r>
            <w:proofErr w:type="spellEnd"/>
            <w:r>
              <w:rPr>
                <w:lang w:val="en-US"/>
              </w:rPr>
              <w:t xml:space="preserve"> Family Token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Pr="00E67CB4" w:rsidRDefault="00E67CB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IGT Token</w:t>
            </w:r>
          </w:p>
        </w:tc>
      </w:tr>
      <w:tr w:rsidR="00DF75D9">
        <w:trPr>
          <w:trHeight w:val="4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Короткое наименование токена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rPr>
                <w:lang w:val="en-US"/>
              </w:rPr>
              <w:t>VPFT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Pr="00E67CB4" w:rsidRDefault="00E67CB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IGTT</w:t>
            </w:r>
          </w:p>
        </w:tc>
      </w:tr>
      <w:tr w:rsidR="00DF75D9">
        <w:trPr>
          <w:trHeight w:val="4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Количество знаков после запятой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18 (рекомендуется)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DF75D9">
            <w:pPr>
              <w:spacing w:after="0" w:line="240" w:lineRule="auto"/>
            </w:pPr>
          </w:p>
        </w:tc>
      </w:tr>
      <w:tr w:rsidR="00DF75D9">
        <w:trPr>
          <w:trHeight w:val="145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  <w:rPr>
                <w:b/>
                <w:bCs/>
              </w:rPr>
            </w:pPr>
            <w:r>
              <w:t>Количество токенов при выпуске</w:t>
            </w:r>
          </w:p>
          <w:p w:rsidR="00DF75D9" w:rsidRDefault="00E80469">
            <w:pPr>
              <w:spacing w:after="0" w:line="240" w:lineRule="auto"/>
            </w:pPr>
            <w:r w:rsidRPr="008936BD">
              <w:t>(</w:t>
            </w:r>
            <w:proofErr w:type="spellStart"/>
            <w:r>
              <w:rPr>
                <w:lang w:val="en-US"/>
              </w:rPr>
              <w:t>TotalSupply</w:t>
            </w:r>
            <w:proofErr w:type="spellEnd"/>
            <w:r w:rsidRPr="008936BD">
              <w:t>)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130" w:type="dxa"/>
              <w:bottom w:w="80" w:type="dxa"/>
              <w:right w:w="80" w:type="dxa"/>
            </w:tcMar>
          </w:tcPr>
          <w:p w:rsidR="00DF75D9" w:rsidRDefault="00E80469">
            <w:pPr>
              <w:pStyle w:val="a5"/>
              <w:spacing w:after="0" w:line="240" w:lineRule="auto"/>
              <w:ind w:left="50"/>
            </w:pPr>
            <w:r>
              <w:t xml:space="preserve">Все токены выпускаются сразу при развертывании контракта (кол-во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AA5D6D">
            <w:pPr>
              <w:spacing w:after="0" w:line="240" w:lineRule="auto"/>
            </w:pPr>
            <w:r>
              <w:t>21 млн</w:t>
            </w:r>
          </w:p>
        </w:tc>
      </w:tr>
      <w:tr w:rsidR="00AA5D6D">
        <w:trPr>
          <w:trHeight w:val="4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D6D" w:rsidRDefault="00AA5D6D">
            <w:pPr>
              <w:spacing w:after="0" w:line="240" w:lineRule="auto"/>
            </w:pPr>
            <w:r>
              <w:t>Доп. Эмиссия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D6D" w:rsidRDefault="00AA5D6D">
            <w:pPr>
              <w:spacing w:after="0" w:line="240" w:lineRule="auto"/>
            </w:pPr>
            <w:r>
              <w:t>Да / Нет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D6D" w:rsidRDefault="00AA5D6D">
            <w:r>
              <w:t>Нет</w:t>
            </w:r>
          </w:p>
        </w:tc>
      </w:tr>
      <w:tr w:rsidR="00DF75D9">
        <w:trPr>
          <w:trHeight w:val="4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Pr="00AA5D6D" w:rsidRDefault="00E80469">
            <w:pPr>
              <w:spacing w:after="0" w:line="240" w:lineRule="auto"/>
            </w:pPr>
            <w:r>
              <w:t>Возможность сжигания нераспроданных токенов</w:t>
            </w:r>
            <w:r w:rsidR="00AA5D6D">
              <w:t xml:space="preserve"> по завершении периода </w:t>
            </w:r>
            <w:r w:rsidR="00AA5D6D">
              <w:rPr>
                <w:lang w:val="en-US"/>
              </w:rPr>
              <w:t>Pre</w:t>
            </w:r>
            <w:r w:rsidR="00AA5D6D" w:rsidRPr="00AA5D6D">
              <w:t>-</w:t>
            </w:r>
            <w:r w:rsidR="00AA5D6D">
              <w:rPr>
                <w:lang w:val="en-US"/>
              </w:rPr>
              <w:t>ICO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</w:t>
            </w:r>
            <w:r w:rsidR="00AA5D6D">
              <w:t xml:space="preserve"> (условия сжигания)</w:t>
            </w:r>
            <w:r>
              <w:t xml:space="preserve"> / Нет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Pr="00E67CB4" w:rsidRDefault="00E67CB4">
            <w:proofErr w:type="spellStart"/>
            <w:r>
              <w:rPr>
                <w:lang w:val="en-US"/>
              </w:rPr>
              <w:t>нет</w:t>
            </w:r>
            <w:proofErr w:type="spellEnd"/>
          </w:p>
        </w:tc>
      </w:tr>
      <w:tr w:rsidR="00AA5D6D">
        <w:trPr>
          <w:trHeight w:val="97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D6D" w:rsidRPr="00AA5D6D" w:rsidRDefault="00AA5D6D">
            <w:pPr>
              <w:spacing w:after="0" w:line="240" w:lineRule="auto"/>
            </w:pPr>
            <w:r>
              <w:t xml:space="preserve">Период </w:t>
            </w:r>
            <w:r>
              <w:rPr>
                <w:lang w:val="en-US"/>
              </w:rPr>
              <w:t>Pre-ICO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D6D" w:rsidRDefault="00AA5D6D">
            <w:pPr>
              <w:spacing w:after="0" w:line="240" w:lineRule="auto"/>
            </w:pPr>
            <w:r>
              <w:t>Есть, четко заданный / Есть настраивается админом / Нет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D6D" w:rsidRDefault="002935D1">
            <w:pPr>
              <w:spacing w:after="0" w:line="240" w:lineRule="auto"/>
            </w:pPr>
            <w:r>
              <w:t>Периоды настраиваемые вручную</w:t>
            </w:r>
          </w:p>
        </w:tc>
      </w:tr>
      <w:tr w:rsidR="00DF75D9">
        <w:trPr>
          <w:trHeight w:val="97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 xml:space="preserve">Возможность принимать эфир на адрес контракта и автоматическая продажа токенов 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 / Нет</w:t>
            </w:r>
          </w:p>
          <w:p w:rsidR="00DF75D9" w:rsidRDefault="00E80469">
            <w:pPr>
              <w:spacing w:after="0" w:line="240" w:lineRule="auto"/>
            </w:pPr>
            <w:r>
              <w:t>Если Да, то курс токена к эфиру, условия изменения.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DF75D9">
            <w:pPr>
              <w:spacing w:after="0" w:line="240" w:lineRule="auto"/>
            </w:pPr>
          </w:p>
        </w:tc>
      </w:tr>
      <w:tr w:rsidR="00DF75D9">
        <w:trPr>
          <w:trHeight w:val="169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Возможность принимать токены на адрес контракта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Да / Нет</w:t>
            </w:r>
          </w:p>
          <w:p w:rsidR="00DF75D9" w:rsidRDefault="00E80469">
            <w:pPr>
              <w:spacing w:after="0" w:line="240" w:lineRule="auto"/>
            </w:pPr>
            <w:r>
              <w:t>Если Да, то условия приема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DF75D9">
            <w:pPr>
              <w:spacing w:after="0" w:line="240" w:lineRule="auto"/>
            </w:pPr>
          </w:p>
        </w:tc>
      </w:tr>
      <w:tr w:rsidR="00AA5D6D">
        <w:trPr>
          <w:trHeight w:val="121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D6D" w:rsidRPr="00AA5D6D" w:rsidRDefault="00AA5D6D">
            <w:pPr>
              <w:spacing w:after="0" w:line="240" w:lineRule="auto"/>
            </w:pPr>
            <w:r>
              <w:t xml:space="preserve">Возможность обмена токенов </w:t>
            </w:r>
            <w:r>
              <w:rPr>
                <w:lang w:val="en-US"/>
              </w:rPr>
              <w:t>Pre</w:t>
            </w:r>
            <w:r w:rsidRPr="00AA5D6D">
              <w:t>-</w:t>
            </w:r>
            <w:r>
              <w:rPr>
                <w:lang w:val="en-US"/>
              </w:rPr>
              <w:t>ICO</w:t>
            </w:r>
            <w:r w:rsidRPr="00AA5D6D">
              <w:t xml:space="preserve"> </w:t>
            </w:r>
            <w:r>
              <w:t xml:space="preserve">на токены </w:t>
            </w:r>
            <w:r>
              <w:rPr>
                <w:lang w:val="en-US"/>
              </w:rPr>
              <w:t>ICO</w:t>
            </w:r>
            <w:r w:rsidRPr="00AA5D6D">
              <w:t xml:space="preserve"> </w:t>
            </w:r>
            <w:r>
              <w:t>в будущем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D6D" w:rsidRDefault="00AA5D6D">
            <w:pPr>
              <w:spacing w:after="0" w:line="240" w:lineRule="auto"/>
            </w:pPr>
            <w:r>
              <w:t>Да/ Нет</w:t>
            </w: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D6D" w:rsidRDefault="00AA5D6D">
            <w:pPr>
              <w:spacing w:after="0" w:line="240" w:lineRule="auto"/>
            </w:pPr>
            <w:r>
              <w:t>Да</w:t>
            </w:r>
          </w:p>
        </w:tc>
      </w:tr>
      <w:tr w:rsidR="00DF75D9">
        <w:trPr>
          <w:trHeight w:val="1210"/>
        </w:trPr>
        <w:tc>
          <w:tcPr>
            <w:tcW w:w="3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E80469">
            <w:pPr>
              <w:spacing w:after="0" w:line="240" w:lineRule="auto"/>
            </w:pPr>
            <w:r>
              <w:t>Дополнительный функционал</w:t>
            </w:r>
          </w:p>
        </w:tc>
        <w:tc>
          <w:tcPr>
            <w:tcW w:w="31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75D9" w:rsidRDefault="00DF75D9">
            <w:pPr>
              <w:spacing w:after="0" w:line="240" w:lineRule="auto"/>
            </w:pPr>
          </w:p>
        </w:tc>
        <w:tc>
          <w:tcPr>
            <w:tcW w:w="2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7CB4" w:rsidRPr="0038775B" w:rsidRDefault="00E67CB4" w:rsidP="00E67CB4">
            <w:pPr>
              <w:spacing w:after="0" w:line="240" w:lineRule="auto"/>
            </w:pPr>
            <w:r>
              <w:t>Возможность вручную пользователю начислять токены</w:t>
            </w:r>
            <w:r w:rsidR="0038775B" w:rsidRPr="0038775B">
              <w:t xml:space="preserve"> (</w:t>
            </w:r>
            <w:r w:rsidR="00605C6A" w:rsidRPr="00605C6A">
              <w:rPr>
                <w:color w:val="FF0000"/>
              </w:rPr>
              <w:t>минимум 1 токен</w:t>
            </w:r>
            <w:r w:rsidR="00605C6A">
              <w:t>)</w:t>
            </w:r>
          </w:p>
          <w:p w:rsidR="00E67CB4" w:rsidRPr="00AA5D6D" w:rsidRDefault="00E67CB4" w:rsidP="00E67CB4">
            <w:pPr>
              <w:spacing w:after="0" w:line="240" w:lineRule="auto"/>
            </w:pPr>
            <w:r>
              <w:t>Возможность вручную задавать дополнительный бонус при покупке в отведенный интервал времени</w:t>
            </w:r>
          </w:p>
          <w:p w:rsidR="00DF75D9" w:rsidRDefault="00DF75D9" w:rsidP="00AA5D6D">
            <w:pPr>
              <w:spacing w:after="0" w:line="240" w:lineRule="auto"/>
            </w:pPr>
          </w:p>
        </w:tc>
      </w:tr>
    </w:tbl>
    <w:p w:rsidR="008936BD" w:rsidRDefault="008936BD">
      <w:pPr>
        <w:widowControl w:val="0"/>
        <w:spacing w:line="240" w:lineRule="auto"/>
      </w:pPr>
    </w:p>
    <w:p w:rsidR="002935D1" w:rsidRDefault="002935D1">
      <w:pPr>
        <w:widowControl w:val="0"/>
        <w:spacing w:line="240" w:lineRule="auto"/>
      </w:pPr>
    </w:p>
    <w:tbl>
      <w:tblPr>
        <w:tblW w:w="67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2935D1" w:rsidRPr="0058263E" w:rsidTr="009D544E">
        <w:trPr>
          <w:trHeight w:val="480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proofErr w:type="spellStart"/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Обьем</w:t>
            </w:r>
            <w:proofErr w:type="spellEnd"/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,</w:t>
            </w:r>
            <w:r>
              <w:rPr>
                <w:rFonts w:eastAsia="Times New Roman" w:cstheme="minorHAnsi"/>
                <w:color w:val="212121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токенов</w:t>
            </w:r>
          </w:p>
        </w:tc>
        <w:tc>
          <w:tcPr>
            <w:tcW w:w="3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Бонус</w:t>
            </w:r>
          </w:p>
        </w:tc>
      </w:tr>
      <w:tr w:rsidR="002935D1" w:rsidRPr="0058263E" w:rsidTr="009D544E">
        <w:trPr>
          <w:trHeight w:val="48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2 000 000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12%</w:t>
            </w:r>
          </w:p>
        </w:tc>
      </w:tr>
      <w:tr w:rsidR="002935D1" w:rsidRPr="0058263E" w:rsidTr="009D544E">
        <w:trPr>
          <w:trHeight w:val="48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4 000 000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8%</w:t>
            </w:r>
          </w:p>
        </w:tc>
      </w:tr>
      <w:tr w:rsidR="002935D1" w:rsidRPr="0058263E" w:rsidTr="009D544E">
        <w:trPr>
          <w:trHeight w:val="48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6 000 000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6%</w:t>
            </w:r>
          </w:p>
        </w:tc>
      </w:tr>
      <w:tr w:rsidR="002935D1" w:rsidRPr="0058263E" w:rsidTr="009D544E">
        <w:trPr>
          <w:trHeight w:val="48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8 000 000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4%</w:t>
            </w:r>
          </w:p>
        </w:tc>
      </w:tr>
      <w:tr w:rsidR="002935D1" w:rsidRPr="0058263E" w:rsidTr="009D544E">
        <w:trPr>
          <w:trHeight w:val="48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10 000 000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2%</w:t>
            </w:r>
          </w:p>
        </w:tc>
      </w:tr>
      <w:tr w:rsidR="002935D1" w:rsidRPr="0058263E" w:rsidTr="009D544E">
        <w:trPr>
          <w:trHeight w:val="480"/>
        </w:trPr>
        <w:tc>
          <w:tcPr>
            <w:tcW w:w="3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12 600 000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5D1" w:rsidRPr="0058263E" w:rsidRDefault="002935D1" w:rsidP="009D544E">
            <w:pPr>
              <w:spacing w:line="256" w:lineRule="auto"/>
              <w:ind w:firstLine="720"/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</w:pPr>
            <w:r w:rsidRPr="0058263E">
              <w:rPr>
                <w:rFonts w:eastAsia="Times New Roman" w:cstheme="minorHAnsi"/>
                <w:color w:val="212121"/>
                <w:sz w:val="26"/>
                <w:szCs w:val="26"/>
                <w:highlight w:val="white"/>
              </w:rPr>
              <w:t>0%</w:t>
            </w:r>
          </w:p>
        </w:tc>
      </w:tr>
    </w:tbl>
    <w:p w:rsidR="002935D1" w:rsidRDefault="002935D1" w:rsidP="002935D1">
      <w:pPr>
        <w:spacing w:line="256" w:lineRule="auto"/>
        <w:rPr>
          <w:rFonts w:eastAsia="Times New Roman" w:cstheme="minorHAnsi"/>
          <w:b/>
          <w:sz w:val="26"/>
          <w:szCs w:val="26"/>
          <w:highlight w:val="white"/>
        </w:rPr>
      </w:pPr>
    </w:p>
    <w:p w:rsidR="002935D1" w:rsidRPr="00605C6A" w:rsidRDefault="002935D1" w:rsidP="002935D1">
      <w:pPr>
        <w:spacing w:line="256" w:lineRule="auto"/>
        <w:rPr>
          <w:rFonts w:eastAsia="Times New Roman" w:cstheme="minorHAnsi"/>
          <w:sz w:val="26"/>
          <w:szCs w:val="26"/>
          <w:highlight w:val="white"/>
        </w:rPr>
      </w:pPr>
      <w:r w:rsidRPr="00605C6A">
        <w:rPr>
          <w:rFonts w:eastAsia="Times New Roman" w:cstheme="minorHAnsi"/>
          <w:sz w:val="26"/>
          <w:szCs w:val="26"/>
          <w:highlight w:val="white"/>
        </w:rPr>
        <w:t>Бонусы начисляемы при покупке токенов не до</w:t>
      </w:r>
      <w:r w:rsidR="00BC0D1E">
        <w:rPr>
          <w:rFonts w:eastAsia="Times New Roman" w:cstheme="minorHAnsi"/>
          <w:sz w:val="26"/>
          <w:szCs w:val="26"/>
          <w:highlight w:val="white"/>
        </w:rPr>
        <w:t>л</w:t>
      </w:r>
      <w:r w:rsidRPr="00605C6A">
        <w:rPr>
          <w:rFonts w:eastAsia="Times New Roman" w:cstheme="minorHAnsi"/>
          <w:sz w:val="26"/>
          <w:szCs w:val="26"/>
          <w:highlight w:val="white"/>
        </w:rPr>
        <w:t>жны влиять на количество продаваемых токенов.</w:t>
      </w:r>
      <w:r w:rsidR="00BC0D1E">
        <w:rPr>
          <w:rFonts w:eastAsia="Times New Roman" w:cstheme="minorHAnsi"/>
          <w:sz w:val="26"/>
          <w:szCs w:val="26"/>
          <w:highlight w:val="white"/>
        </w:rPr>
        <w:t xml:space="preserve"> </w:t>
      </w:r>
      <w:r w:rsidRPr="00605C6A">
        <w:rPr>
          <w:rFonts w:eastAsia="Times New Roman" w:cstheme="minorHAnsi"/>
          <w:sz w:val="26"/>
          <w:szCs w:val="26"/>
          <w:highlight w:val="white"/>
        </w:rPr>
        <w:t>То есть при про даже 1000 токенов и бонусом 12% 120 токенов не должны идти в общий зачет</w:t>
      </w:r>
      <w:r w:rsidR="00605C6A">
        <w:rPr>
          <w:rFonts w:eastAsia="Times New Roman" w:cstheme="minorHAnsi"/>
          <w:sz w:val="26"/>
          <w:szCs w:val="26"/>
          <w:highlight w:val="white"/>
        </w:rPr>
        <w:t xml:space="preserve"> - </w:t>
      </w:r>
      <w:r w:rsidR="00605C6A" w:rsidRPr="00605C6A">
        <w:rPr>
          <w:rFonts w:eastAsia="Times New Roman" w:cstheme="minorHAnsi"/>
          <w:b/>
          <w:sz w:val="26"/>
          <w:szCs w:val="26"/>
          <w:highlight w:val="white"/>
        </w:rPr>
        <w:t>отказаться</w:t>
      </w:r>
    </w:p>
    <w:p w:rsidR="002935D1" w:rsidRDefault="002935D1" w:rsidP="002935D1">
      <w:pPr>
        <w:spacing w:line="256" w:lineRule="auto"/>
        <w:rPr>
          <w:rFonts w:eastAsia="Times New Roman" w:cstheme="minorHAnsi"/>
          <w:b/>
          <w:sz w:val="26"/>
          <w:szCs w:val="26"/>
          <w:highlight w:val="white"/>
        </w:rPr>
      </w:pPr>
    </w:p>
    <w:p w:rsidR="002935D1" w:rsidRPr="0058263E" w:rsidRDefault="002935D1" w:rsidP="002935D1">
      <w:pPr>
        <w:spacing w:line="256" w:lineRule="auto"/>
        <w:rPr>
          <w:rFonts w:eastAsia="Times New Roman" w:cstheme="minorHAnsi"/>
          <w:b/>
          <w:sz w:val="26"/>
          <w:szCs w:val="26"/>
          <w:highlight w:val="white"/>
        </w:rPr>
      </w:pPr>
      <w:r w:rsidRPr="0058263E">
        <w:rPr>
          <w:rFonts w:eastAsia="Times New Roman" w:cstheme="minorHAnsi"/>
          <w:b/>
          <w:sz w:val="26"/>
          <w:szCs w:val="26"/>
          <w:highlight w:val="white"/>
        </w:rPr>
        <w:t>Распределение токенов</w:t>
      </w:r>
    </w:p>
    <w:p w:rsidR="002935D1" w:rsidRPr="0058263E" w:rsidRDefault="002935D1" w:rsidP="002935D1">
      <w:pPr>
        <w:spacing w:line="256" w:lineRule="auto"/>
        <w:rPr>
          <w:rFonts w:eastAsia="Times New Roman" w:cstheme="minorHAnsi"/>
          <w:sz w:val="26"/>
          <w:szCs w:val="26"/>
          <w:highlight w:val="white"/>
        </w:rPr>
      </w:pPr>
      <w:r w:rsidRPr="0058263E">
        <w:rPr>
          <w:rFonts w:eastAsia="Times New Roman" w:cstheme="minorHAnsi"/>
          <w:sz w:val="26"/>
          <w:szCs w:val="26"/>
          <w:highlight w:val="white"/>
        </w:rPr>
        <w:t>60% - продажа</w:t>
      </w:r>
    </w:p>
    <w:p w:rsidR="002935D1" w:rsidRPr="0058263E" w:rsidRDefault="002935D1" w:rsidP="002935D1">
      <w:pPr>
        <w:spacing w:line="256" w:lineRule="auto"/>
        <w:rPr>
          <w:rFonts w:eastAsia="Times New Roman" w:cstheme="minorHAnsi"/>
          <w:sz w:val="26"/>
          <w:szCs w:val="26"/>
          <w:highlight w:val="white"/>
        </w:rPr>
      </w:pPr>
      <w:r w:rsidRPr="0058263E">
        <w:rPr>
          <w:rFonts w:eastAsia="Times New Roman" w:cstheme="minorHAnsi"/>
          <w:sz w:val="26"/>
          <w:szCs w:val="26"/>
          <w:highlight w:val="white"/>
        </w:rPr>
        <w:t>10% - команда(Холдинг монет на 3 года)</w:t>
      </w:r>
    </w:p>
    <w:p w:rsidR="002935D1" w:rsidRPr="0058263E" w:rsidRDefault="002935D1" w:rsidP="002935D1">
      <w:pPr>
        <w:spacing w:line="256" w:lineRule="auto"/>
        <w:rPr>
          <w:rFonts w:eastAsia="Times New Roman" w:cstheme="minorHAnsi"/>
          <w:sz w:val="26"/>
          <w:szCs w:val="26"/>
          <w:highlight w:val="white"/>
        </w:rPr>
      </w:pPr>
      <w:r w:rsidRPr="0058263E">
        <w:rPr>
          <w:rFonts w:eastAsia="Times New Roman" w:cstheme="minorHAnsi"/>
          <w:sz w:val="26"/>
          <w:szCs w:val="26"/>
          <w:highlight w:val="white"/>
        </w:rPr>
        <w:t>15%-Фонд развития компании(Холдинг монет на 3 года)</w:t>
      </w:r>
    </w:p>
    <w:p w:rsidR="002935D1" w:rsidRPr="0058263E" w:rsidRDefault="002935D1" w:rsidP="002935D1">
      <w:pPr>
        <w:spacing w:line="256" w:lineRule="auto"/>
        <w:rPr>
          <w:rFonts w:eastAsia="Times New Roman" w:cstheme="minorHAnsi"/>
          <w:sz w:val="26"/>
          <w:szCs w:val="26"/>
          <w:highlight w:val="white"/>
        </w:rPr>
      </w:pPr>
      <w:r w:rsidRPr="0058263E">
        <w:rPr>
          <w:rFonts w:eastAsia="Times New Roman" w:cstheme="minorHAnsi"/>
          <w:sz w:val="26"/>
          <w:szCs w:val="26"/>
          <w:highlight w:val="white"/>
        </w:rPr>
        <w:t xml:space="preserve">10%- </w:t>
      </w:r>
      <w:proofErr w:type="spellStart"/>
      <w:r w:rsidRPr="0058263E">
        <w:rPr>
          <w:rFonts w:eastAsia="Times New Roman" w:cstheme="minorHAnsi"/>
          <w:sz w:val="26"/>
          <w:szCs w:val="26"/>
          <w:highlight w:val="white"/>
        </w:rPr>
        <w:t>баунти</w:t>
      </w:r>
      <w:proofErr w:type="spellEnd"/>
      <w:r w:rsidRPr="0058263E">
        <w:rPr>
          <w:rFonts w:eastAsia="Times New Roman" w:cstheme="minorHAnsi"/>
          <w:sz w:val="26"/>
          <w:szCs w:val="26"/>
          <w:highlight w:val="white"/>
        </w:rPr>
        <w:t xml:space="preserve"> и бонусы</w:t>
      </w:r>
    </w:p>
    <w:p w:rsidR="002935D1" w:rsidRDefault="002935D1" w:rsidP="002935D1">
      <w:pPr>
        <w:spacing w:line="256" w:lineRule="auto"/>
        <w:rPr>
          <w:rFonts w:eastAsia="Times New Roman" w:cstheme="minorHAnsi"/>
          <w:sz w:val="26"/>
          <w:szCs w:val="26"/>
          <w:highlight w:val="white"/>
        </w:rPr>
      </w:pPr>
      <w:r w:rsidRPr="0058263E">
        <w:rPr>
          <w:rFonts w:eastAsia="Times New Roman" w:cstheme="minorHAnsi"/>
          <w:sz w:val="26"/>
          <w:szCs w:val="26"/>
          <w:highlight w:val="white"/>
        </w:rPr>
        <w:t xml:space="preserve">5 %- </w:t>
      </w:r>
      <w:proofErr w:type="spellStart"/>
      <w:r w:rsidRPr="0058263E">
        <w:rPr>
          <w:rFonts w:eastAsia="Times New Roman" w:cstheme="minorHAnsi"/>
          <w:sz w:val="26"/>
          <w:szCs w:val="26"/>
          <w:highlight w:val="white"/>
        </w:rPr>
        <w:t>адвайзеры</w:t>
      </w:r>
      <w:proofErr w:type="spellEnd"/>
      <w:r w:rsidRPr="0058263E">
        <w:rPr>
          <w:rFonts w:eastAsia="Times New Roman" w:cstheme="minorHAnsi"/>
          <w:sz w:val="26"/>
          <w:szCs w:val="26"/>
          <w:highlight w:val="white"/>
        </w:rPr>
        <w:t>, маркетинг, PR</w:t>
      </w:r>
    </w:p>
    <w:p w:rsidR="00605C6A" w:rsidRPr="00605C6A" w:rsidRDefault="00605C6A" w:rsidP="002935D1">
      <w:pPr>
        <w:spacing w:line="256" w:lineRule="auto"/>
        <w:rPr>
          <w:rFonts w:eastAsia="Times New Roman" w:cstheme="minorHAnsi"/>
          <w:b/>
          <w:sz w:val="26"/>
          <w:szCs w:val="26"/>
          <w:highlight w:val="white"/>
        </w:rPr>
      </w:pPr>
      <w:r w:rsidRPr="00605C6A">
        <w:rPr>
          <w:rFonts w:eastAsia="Times New Roman" w:cstheme="minorHAnsi"/>
          <w:b/>
          <w:sz w:val="26"/>
          <w:szCs w:val="26"/>
          <w:highlight w:val="white"/>
        </w:rPr>
        <w:t>Это сделано</w:t>
      </w:r>
    </w:p>
    <w:sectPr w:rsidR="00605C6A" w:rsidRPr="00605C6A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75B" w:rsidRDefault="0048075B">
      <w:pPr>
        <w:spacing w:after="0" w:line="240" w:lineRule="auto"/>
      </w:pPr>
      <w:r>
        <w:separator/>
      </w:r>
    </w:p>
  </w:endnote>
  <w:endnote w:type="continuationSeparator" w:id="0">
    <w:p w:rsidR="0048075B" w:rsidRDefault="0048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5D9" w:rsidRDefault="00DF75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75B" w:rsidRDefault="0048075B">
      <w:pPr>
        <w:spacing w:after="0" w:line="240" w:lineRule="auto"/>
      </w:pPr>
      <w:r>
        <w:separator/>
      </w:r>
    </w:p>
  </w:footnote>
  <w:footnote w:type="continuationSeparator" w:id="0">
    <w:p w:rsidR="0048075B" w:rsidRDefault="00480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5D9" w:rsidRDefault="00DF75D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5D9"/>
    <w:rsid w:val="00093DF5"/>
    <w:rsid w:val="000E1A94"/>
    <w:rsid w:val="00111C91"/>
    <w:rsid w:val="00204636"/>
    <w:rsid w:val="00257612"/>
    <w:rsid w:val="002935D1"/>
    <w:rsid w:val="0030427C"/>
    <w:rsid w:val="003432A6"/>
    <w:rsid w:val="0038775B"/>
    <w:rsid w:val="003A1C53"/>
    <w:rsid w:val="0048075B"/>
    <w:rsid w:val="00605C6A"/>
    <w:rsid w:val="006E6D93"/>
    <w:rsid w:val="008277A6"/>
    <w:rsid w:val="00862D4C"/>
    <w:rsid w:val="008936BD"/>
    <w:rsid w:val="00A74EBC"/>
    <w:rsid w:val="00AA5D6D"/>
    <w:rsid w:val="00B045C4"/>
    <w:rsid w:val="00BC0D1E"/>
    <w:rsid w:val="00BD4E0D"/>
    <w:rsid w:val="00CA7FC6"/>
    <w:rsid w:val="00CB2E77"/>
    <w:rsid w:val="00D068CC"/>
    <w:rsid w:val="00DD2EBD"/>
    <w:rsid w:val="00DE427D"/>
    <w:rsid w:val="00DF75D9"/>
    <w:rsid w:val="00E67CB4"/>
    <w:rsid w:val="00E80469"/>
    <w:rsid w:val="00ED6C59"/>
    <w:rsid w:val="00F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3A43"/>
  <w15:docId w15:val="{8E0B658E-EF2D-4A68-BBC2-9E79919B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CA7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4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7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table" w:styleId="a6">
    <w:name w:val="Table Grid"/>
    <w:basedOn w:val="a1"/>
    <w:uiPriority w:val="39"/>
    <w:rsid w:val="00093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3DF5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0"/>
    <w:link w:val="3"/>
    <w:uiPriority w:val="9"/>
    <w:rsid w:val="00B045C4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</w:rPr>
  </w:style>
  <w:style w:type="character" w:customStyle="1" w:styleId="40">
    <w:name w:val="Заголовок 4 Знак"/>
    <w:basedOn w:val="a0"/>
    <w:link w:val="4"/>
    <w:uiPriority w:val="9"/>
    <w:rsid w:val="00CA7FC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u w:color="000000"/>
    </w:rPr>
  </w:style>
  <w:style w:type="character" w:customStyle="1" w:styleId="10">
    <w:name w:val="Заголовок 1 Знак"/>
    <w:basedOn w:val="a0"/>
    <w:link w:val="1"/>
    <w:uiPriority w:val="9"/>
    <w:rsid w:val="00CA7FC6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Chelbukhov</dc:creator>
  <cp:lastModifiedBy>Alexey Chelbukhov</cp:lastModifiedBy>
  <cp:revision>6</cp:revision>
  <dcterms:created xsi:type="dcterms:W3CDTF">2018-06-08T12:30:00Z</dcterms:created>
  <dcterms:modified xsi:type="dcterms:W3CDTF">2018-06-13T05:07:00Z</dcterms:modified>
</cp:coreProperties>
</file>