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5.png" ContentType="image/png"/>
  <Override PartName="/word/media/rId4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Математические модели с урнами</w:t>
      </w:r>
    </w:p>
    <w:p>
      <w:pPr>
        <w:pStyle w:val="Author"/>
      </w:pPr>
      <w:r>
        <w:t xml:space="preserve">Дикач Анна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</w:t>
      </w:r>
    </w:p>
    <w:p>
      <w:pPr>
        <w:pStyle w:val="FirstParagraph"/>
      </w:pPr>
      <w:r>
        <w:t xml:space="preserve">Исследовать математические модели с урнами.</w:t>
      </w:r>
    </w:p>
    <w:p>
      <w:pPr>
        <w:pStyle w:val="BodyText"/>
      </w:pPr>
      <w:r>
        <w:rPr>
          <w:b/>
          <w:bCs/>
        </w:rPr>
        <w:t xml:space="preserve">Введение</w:t>
      </w:r>
    </w:p>
    <w:p>
      <w:pPr>
        <w:pStyle w:val="BodyText"/>
      </w:pPr>
      <w:r>
        <w:t xml:space="preserve">Математические модели с урнами представляют собой важный и увлекательный раздел теории вероятностей, который изучает случайные процессы, связанные с выбором объектов из ограниченного набора. Эти модели позволяют формализовать и анализировать различные ситуации, в которых объекты (шары) извлекаются из урны в соответствии с определёнными правилами. Они служат основой для понимания более сложных систем и процессов, встречающихся в реальной жизни.</w:t>
      </w:r>
    </w:p>
    <w:p>
      <w:pPr>
        <w:pStyle w:val="BodyText"/>
      </w:pPr>
      <w:r>
        <w:t xml:space="preserve">История моделей с урнами восходит к работам таких математиков, как Бенжамен Перре и Пьер-Симон Лаплас, которые исследовали вероятностные аспекты выбора и случайности. Современные подходы к моделированию с урнами включают в себя не только классические методы, но и более сложные статистические и вычислительные техники, что делает эту область особенно актуальной в свете современных научных исследований.</w:t>
      </w:r>
    </w:p>
    <w:p>
      <w:pPr>
        <w:pStyle w:val="BodyText"/>
      </w:pPr>
      <w:r>
        <w:t xml:space="preserve">Модели с урнами находят применение в самых различных областях: от биологии и экологии до экономики и социологии. Например, они могут использоваться для моделирования процессов естественного отбора, распространения инфекций, анализа рынка и даже для изучения поведения социальных групп. Эти модели помогают понять, как взаимодействие между различными элементами системы может приводить к неожиданным результатам и динамическим изменениям.</w:t>
      </w:r>
    </w:p>
    <w:p>
      <w:pPr>
        <w:pStyle w:val="BodyText"/>
      </w:pPr>
      <w:r>
        <w:rPr>
          <w:b/>
          <w:bCs/>
        </w:rPr>
        <w:t xml:space="preserve">Описание общей модели</w:t>
      </w:r>
    </w:p>
    <w:p>
      <w:pPr>
        <w:pStyle w:val="BodyText"/>
      </w:pPr>
      <w:r>
        <w:t xml:space="preserve">Пусть дана урна с шарами двух цветов. На каждом шаге:</w:t>
      </w:r>
    </w:p>
    <w:p>
      <w:pPr>
        <w:pStyle w:val="Compact"/>
        <w:numPr>
          <w:ilvl w:val="0"/>
          <w:numId w:val="1001"/>
        </w:numPr>
      </w:pPr>
      <w:r>
        <w:t xml:space="preserve">Из урны случайно извлекается один шар.</w:t>
      </w:r>
    </w:p>
    <w:p>
      <w:pPr>
        <w:pStyle w:val="Compact"/>
        <w:numPr>
          <w:ilvl w:val="0"/>
          <w:numId w:val="1001"/>
        </w:numPr>
      </w:pPr>
      <w:r>
        <w:t xml:space="preserve">В зависимости от правил модели шар либо возвращается, либо заменяется.</w:t>
      </w:r>
    </w:p>
    <w:p>
      <w:pPr>
        <w:pStyle w:val="Compact"/>
        <w:numPr>
          <w:ilvl w:val="0"/>
          <w:numId w:val="1001"/>
        </w:numPr>
      </w:pPr>
      <w:r>
        <w:t xml:space="preserve">Фиксируется цвет вынутого шара.</w:t>
      </w:r>
    </w:p>
    <w:p>
      <w:pPr>
        <w:pStyle w:val="FirstParagraph"/>
      </w:pPr>
      <w:r>
        <w:t xml:space="preserve">Математически это можно описать как марковский процесс, где состояние системы определяется текущим составом урны.</w:t>
      </w:r>
    </w:p>
    <w:bookmarkEnd w:id="20"/>
    <w:bookmarkEnd w:id="21"/>
    <w:bookmarkStart w:id="47" w:name="модель-бернулл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Модель Бернулли</w:t>
      </w:r>
    </w:p>
    <w:p>
      <w:pPr>
        <w:pStyle w:val="FirstParagraph"/>
      </w:pPr>
      <w:r>
        <w:t xml:space="preserve">Модель Бернулли — это одна из самых простых и фундаментальных моделей в теории вероятностей, которая описывает случайный эксперимент с двумя возможными исходами. Она названа в честь швейцарского математика Якоба Бернулли, который внес значительный вклад в развитие теории вероятностей.</w:t>
      </w:r>
    </w:p>
    <w:bookmarkStart w:id="22" w:name="основные-характеристик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Основные характеристики</w:t>
      </w:r>
    </w:p>
    <w:p>
      <w:pPr>
        <w:pStyle w:val="FirstParagraph"/>
      </w:pPr>
      <w:r>
        <w:rPr>
          <w:b/>
          <w:bCs/>
        </w:rPr>
        <w:t xml:space="preserve">Исходы</w:t>
      </w:r>
    </w:p>
    <w:p>
      <w:pPr>
        <w:pStyle w:val="BodyText"/>
      </w:pPr>
      <w:r>
        <w:t xml:space="preserve">Каждый исход имеет 2 возможных исхода. Обычно исходы обозначаются как</w:t>
      </w:r>
      <w:r>
        <w:t xml:space="preserve"> </w:t>
      </w:r>
      <w:r>
        <w:rPr>
          <w:b/>
          <w:bCs/>
        </w:rPr>
        <w:t xml:space="preserve">успех (1)</w:t>
      </w:r>
      <w:r>
        <w:t xml:space="preserve"> </w:t>
      </w:r>
      <w:r>
        <w:t xml:space="preserve">и </w:t>
      </w:r>
      <w:r>
        <w:rPr>
          <w:b/>
          <w:bCs/>
        </w:rPr>
        <w:t xml:space="preserve">неудача (0)</w:t>
      </w:r>
    </w:p>
    <w:p>
      <w:pPr>
        <w:pStyle w:val="BodyText"/>
      </w:pPr>
      <w:r>
        <w:rPr>
          <w:b/>
          <w:bCs/>
        </w:rPr>
        <w:t xml:space="preserve">Вероятности</w:t>
      </w:r>
    </w:p>
    <w:p>
      <w:pPr>
        <w:pStyle w:val="BodyText"/>
      </w:pPr>
      <w:r>
        <w:t xml:space="preserve">Вероятность успеха обозначается как p , а вероятность неудачи — как q , где q = 1 - p . Эти вероятности остаются постоянными для каждого испытания.</w:t>
      </w:r>
    </w:p>
    <w:p>
      <w:pPr>
        <w:pStyle w:val="BodyText"/>
      </w:pPr>
      <w:r>
        <w:rPr>
          <w:b/>
          <w:bCs/>
        </w:rPr>
        <w:t xml:space="preserve">Независимость событий</w:t>
      </w:r>
    </w:p>
    <w:p>
      <w:pPr>
        <w:pStyle w:val="BodyText"/>
      </w:pPr>
      <w:r>
        <w:t xml:space="preserve">Каждое испытание является независимым, то есть результат одного испытания не влияет на результаты других.</w:t>
      </w:r>
    </w:p>
    <w:bookmarkEnd w:id="22"/>
    <w:bookmarkStart w:id="23" w:name="применение-модел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Применение модели</w:t>
      </w:r>
    </w:p>
    <w:p>
      <w:pPr>
        <w:pStyle w:val="FirstParagraph"/>
      </w:pPr>
      <w:r>
        <w:t xml:space="preserve">Модель Бернулли часто используется для описания различных явлений, таких как:</w:t>
      </w:r>
    </w:p>
    <w:p>
      <w:pPr>
        <w:pStyle w:val="BodyText"/>
      </w:pPr>
      <w:r>
        <w:t xml:space="preserve">• Подбрасывание монеты (где успехом может быть</w:t>
      </w:r>
      <w:r>
        <w:t xml:space="preserve"> </w:t>
      </w:r>
      <w:r>
        <w:t xml:space="preserve">“орел”</w:t>
      </w:r>
      <w:r>
        <w:t xml:space="preserve">, а неудачей —</w:t>
      </w:r>
      <w:r>
        <w:t xml:space="preserve"> </w:t>
      </w:r>
      <w:r>
        <w:t xml:space="preserve">“решка”</w:t>
      </w:r>
      <w:r>
        <w:t xml:space="preserve">).</w:t>
      </w:r>
    </w:p>
    <w:p>
      <w:pPr>
        <w:pStyle w:val="BodyText"/>
      </w:pPr>
      <w:r>
        <w:t xml:space="preserve">• Опросы, где респонденты могут ответить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.</w:t>
      </w:r>
    </w:p>
    <w:p>
      <w:pPr>
        <w:pStyle w:val="BodyText"/>
      </w:pPr>
      <w:r>
        <w:t xml:space="preserve">• Проверка качества продукции, где изделия могут быть либо дефектными, либо бездефектными.</w:t>
      </w:r>
    </w:p>
    <w:bookmarkEnd w:id="23"/>
    <w:bookmarkStart w:id="28" w:name="работа-с-моделью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Работа с моделью</w:t>
      </w:r>
    </w:p>
    <w:p>
      <w:pPr>
        <w:pStyle w:val="FirstParagraph"/>
      </w:pPr>
      <w:r>
        <w:t xml:space="preserve">Итак, пусть в результате испытания возможны два исхода: либо появится событие А, либо противоположное ему событие B. Проведем n испытаний Бернулли. Это означает, что все n испытаний независимы; вероятность появления события А в каждом отдельно взятом или единичном испытании постоянна и от испытания к испытанию не изменяется (т.е. испытания проводятся в одинаковых условиях). Обозначим вероятность появления события А в единичном испытании буквой р, т.е. p=P(A), а вероятность противоположного события (событие А не наступило) - буквой q=P(B)=1−p.</w:t>
      </w:r>
    </w:p>
    <w:p>
      <w:pPr>
        <w:pStyle w:val="BodyText"/>
      </w:pPr>
      <w:r>
        <w:t xml:space="preserve">Тогда вероятность того, что событие А появится в этих n испытаниях ровно k раз, выражается формулой Бернулли (рис. 1).</w:t>
      </w:r>
    </w:p>
    <w:bookmarkStart w:id="27" w:name="fig:001"/>
    <w:p>
      <w:pPr>
        <w:pStyle w:val="CaptionedFigure"/>
      </w:pPr>
      <w:r>
        <w:drawing>
          <wp:inline>
            <wp:extent cx="3273935" cy="626651"/>
            <wp:effectExtent b="0" l="0" r="0" t="0"/>
            <wp:docPr descr="Рис. 1: Формула Бернулли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935" cy="626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Формула Бернулли</w:t>
      </w:r>
    </w:p>
    <w:bookmarkEnd w:id="27"/>
    <w:p>
      <w:pPr>
        <w:pStyle w:val="BodyText"/>
      </w:pPr>
      <w:r>
        <w:t xml:space="preserve">Распределение числа успехов (появлений события) носит название биномиального распределения.</w:t>
      </w:r>
    </w:p>
    <w:bookmarkEnd w:id="28"/>
    <w:bookmarkStart w:id="33" w:name="пример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Пример</w:t>
      </w:r>
    </w:p>
    <w:p>
      <w:pPr>
        <w:pStyle w:val="FirstParagraph"/>
      </w:pPr>
      <w:r>
        <w:t xml:space="preserve">В урне 20 белых и 10 черных шаров. Вынули 4 шара, причем каждый вынутый шар возвращают в урну перед извлечением следующего и шары в урне перемешивают. Найти вероятность того, что из четырех вынутых шаров окажется 2 белых.</w:t>
      </w:r>
    </w:p>
    <w:p>
      <w:pPr>
        <w:pStyle w:val="Compact"/>
        <w:numPr>
          <w:ilvl w:val="0"/>
          <w:numId w:val="1002"/>
        </w:numPr>
      </w:pPr>
      <w:r>
        <w:t xml:space="preserve">Событие А - достали белый шар, событие В - достали чёрный шар</w:t>
      </w:r>
    </w:p>
    <w:p>
      <w:pPr>
        <w:pStyle w:val="Compact"/>
        <w:numPr>
          <w:ilvl w:val="0"/>
          <w:numId w:val="1002"/>
        </w:numPr>
      </w:pPr>
      <w:r>
        <w:t xml:space="preserve">Вероятность события А равна 2/3, вероятность В равна 1/3</w:t>
      </w:r>
    </w:p>
    <w:p>
      <w:pPr>
        <w:pStyle w:val="Compact"/>
        <w:numPr>
          <w:ilvl w:val="0"/>
          <w:numId w:val="1002"/>
        </w:numPr>
      </w:pPr>
      <w:r>
        <w:t xml:space="preserve">По формуле Бернулли вероятность будет равна: (рис. 2).</w:t>
      </w:r>
    </w:p>
    <w:bookmarkStart w:id="32" w:name="fig:004"/>
    <w:p>
      <w:pPr>
        <w:pStyle w:val="CaptionedFigure"/>
      </w:pPr>
      <w:r>
        <w:drawing>
          <wp:inline>
            <wp:extent cx="2340352" cy="741751"/>
            <wp:effectExtent b="0" l="0" r="0" t="0"/>
            <wp:docPr descr="Рис. 2: Решение примера" title="" id="30" name="Picture"/>
            <a:graphic>
              <a:graphicData uri="http://schemas.openxmlformats.org/drawingml/2006/picture">
                <pic:pic>
                  <pic:nvPicPr>
                    <pic:cNvPr descr="image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352" cy="741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Решение примера</w:t>
      </w:r>
    </w:p>
    <w:bookmarkEnd w:id="32"/>
    <w:bookmarkEnd w:id="33"/>
    <w:bookmarkStart w:id="34" w:name="модель-поля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Модель Поля</w:t>
      </w:r>
    </w:p>
    <w:p>
      <w:pPr>
        <w:pStyle w:val="FirstParagraph"/>
      </w:pPr>
      <w:r>
        <w:t xml:space="preserve">В статистике модель урны Поля, названная в честь Джорджа Поля, представляет собой модель, в которой</w:t>
      </w:r>
      <w:r>
        <w:t xml:space="preserve"> </w:t>
      </w:r>
      <w:r>
        <w:t xml:space="preserve">после того, как шар достается, он возвращается в урну, и ещё добавляется шар такого же цвета. Этот процесс повторяется.</w:t>
      </w:r>
      <w:r>
        <w:t xml:space="preserve"> </w:t>
      </w:r>
      <w:r>
        <w:t xml:space="preserve">Можно заметить, что если, например, белых шаров больше чем чёрных, то с большей вероятностью будет добавлен белый шар.</w:t>
      </w:r>
      <w:r>
        <w:t xml:space="preserve"> </w:t>
      </w:r>
      <w:r>
        <w:t xml:space="preserve">То есть эта урна зависит от истории и сходится.</w:t>
      </w:r>
    </w:p>
    <w:bookmarkEnd w:id="34"/>
    <w:bookmarkStart w:id="39" w:name="особенность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Особенность</w:t>
      </w:r>
    </w:p>
    <w:p>
      <w:pPr>
        <w:pStyle w:val="FirstParagraph"/>
      </w:pPr>
      <w:r>
        <w:t xml:space="preserve">Даже если мы смоделируем ситуацию, где в урне находится одинаковое количество шаров белого и чёрного цвета,</w:t>
      </w:r>
      <w:r>
        <w:t xml:space="preserve"> </w:t>
      </w:r>
      <w:r>
        <w:t xml:space="preserve">количество шаров одного цвета будет сильно больше шаров другого цвета. Допустим, вы начинаете с равным количеством шаров (7 белых, 7 красных).</w:t>
      </w:r>
    </w:p>
    <w:p>
      <w:pPr>
        <w:pStyle w:val="BodyText"/>
      </w:pPr>
      <w:r>
        <w:t xml:space="preserve">Если после первого испытания будет выбран белый шар, в урне окажется 8 белых и 7 чёрных шаров. В результате операции создаётся неравенство, при котором в следующем испытании с большей вероятностью будет выбран белый шар, нежели черный. Шансы что будет выбран белый шар теперь составляют 8 к 15, а то что будет выбран чёрный 7 к 15. Такую ситуацию можно назвать снежным комом.</w:t>
      </w:r>
    </w:p>
    <w:p>
      <w:pPr>
        <w:pStyle w:val="BodyText"/>
      </w:pPr>
      <w:r>
        <w:t xml:space="preserve">Тогда график изменения количество шаров будет выглядить следующим образом: (рис. 3).</w:t>
      </w:r>
    </w:p>
    <w:bookmarkStart w:id="38" w:name="fig:002"/>
    <w:p>
      <w:pPr>
        <w:pStyle w:val="CaptionedFigure"/>
      </w:pPr>
      <w:r>
        <w:drawing>
          <wp:inline>
            <wp:extent cx="3733800" cy="2308314"/>
            <wp:effectExtent b="0" l="0" r="0" t="0"/>
            <wp:docPr descr="Рис. 3: Урны Поля" title="" id="36" name="Picture"/>
            <a:graphic>
              <a:graphicData uri="http://schemas.openxmlformats.org/drawingml/2006/picture">
                <pic:pic>
                  <pic:nvPicPr>
                    <pic:cNvPr descr="image/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8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Урны Поля</w:t>
      </w:r>
    </w:p>
    <w:bookmarkEnd w:id="38"/>
    <w:bookmarkEnd w:id="39"/>
    <w:bookmarkStart w:id="40" w:name="модель-баланса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Модель баланса</w:t>
      </w:r>
    </w:p>
    <w:p>
      <w:pPr>
        <w:pStyle w:val="FirstParagraph"/>
      </w:pPr>
      <w:r>
        <w:t xml:space="preserve">Модель баланса, также известная как модель неудачной выборной кампании, была исследована Фридманом и может рассматриваться как симуляция предвыборной кампании, в которой кандидаты настолько некомпетентны, что избиратели решают голосовать за оппонента. В отличие от модели Поля, эта урна нацелена на поддержание равновесия между черными и белыми шарами. В данной модели, после извлечения шара, в урну помещается шар противоположного цвета. Эта модель стремится к состоянию равновесия.</w:t>
      </w:r>
    </w:p>
    <w:bookmarkEnd w:id="40"/>
    <w:bookmarkStart w:id="41" w:name="основная-постановка-задачи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Основная постановка задачи</w:t>
      </w:r>
    </w:p>
    <w:p>
      <w:pPr>
        <w:pStyle w:val="FirstParagraph"/>
      </w:pPr>
      <w:r>
        <w:t xml:space="preserve">Имеется n шаров и k урн. Шары размещаются в нескольких вариациях:</w:t>
      </w:r>
    </w:p>
    <w:p>
      <w:pPr>
        <w:pStyle w:val="Compact"/>
        <w:numPr>
          <w:ilvl w:val="0"/>
          <w:numId w:val="1003"/>
        </w:numPr>
      </w:pPr>
      <w:r>
        <w:t xml:space="preserve">Различные шары в различные урны</w:t>
      </w:r>
    </w:p>
    <w:p>
      <w:pPr>
        <w:pStyle w:val="Compact"/>
        <w:numPr>
          <w:ilvl w:val="0"/>
          <w:numId w:val="1003"/>
        </w:numPr>
      </w:pPr>
      <w:r>
        <w:t xml:space="preserve">Неразличимые шары в различимые урны</w:t>
      </w:r>
    </w:p>
    <w:p>
      <w:pPr>
        <w:pStyle w:val="Compact"/>
        <w:numPr>
          <w:ilvl w:val="0"/>
          <w:numId w:val="1003"/>
        </w:numPr>
      </w:pPr>
      <w:r>
        <w:t xml:space="preserve">Различимые шары в неразличимые урны</w:t>
      </w:r>
    </w:p>
    <w:p>
      <w:pPr>
        <w:pStyle w:val="Compact"/>
        <w:numPr>
          <w:ilvl w:val="0"/>
          <w:numId w:val="1003"/>
        </w:numPr>
      </w:pPr>
      <w:r>
        <w:t xml:space="preserve">Неразличимые шары в неразличимые урны</w:t>
      </w:r>
    </w:p>
    <w:bookmarkEnd w:id="41"/>
    <w:bookmarkStart w:id="46" w:name="пример-1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Пример</w:t>
      </w:r>
    </w:p>
    <w:p>
      <w:pPr>
        <w:pStyle w:val="FirstParagraph"/>
      </w:pPr>
      <w:r>
        <w:t xml:space="preserve">5 шаров случайно бросают в 3 урны. Какова вероятность, что хотя бы одна урна останется пустой?</w:t>
      </w:r>
    </w:p>
    <w:p>
      <w:pPr>
        <w:pStyle w:val="Compact"/>
        <w:numPr>
          <w:ilvl w:val="0"/>
          <w:numId w:val="1004"/>
        </w:numPr>
      </w:pPr>
      <w:r>
        <w:t xml:space="preserve">всего способов распределить шары 3^5 = 243</w:t>
      </w:r>
    </w:p>
    <w:p>
      <w:pPr>
        <w:pStyle w:val="Compact"/>
        <w:numPr>
          <w:ilvl w:val="0"/>
          <w:numId w:val="1004"/>
        </w:numPr>
      </w:pPr>
      <w:r>
        <w:t xml:space="preserve">Число способов, где шары попадают только в 2 урны: (3/1) * 2^5 = 96</w:t>
      </w:r>
    </w:p>
    <w:p>
      <w:pPr>
        <w:pStyle w:val="Compact"/>
        <w:numPr>
          <w:ilvl w:val="0"/>
          <w:numId w:val="1004"/>
        </w:numPr>
      </w:pPr>
      <w:r>
        <w:t xml:space="preserve">Из полученного числа необходимо вычесть случаи, когда ввсе шары в одной урне: 96 - 3 = 93</w:t>
      </w:r>
    </w:p>
    <w:p>
      <w:pPr>
        <w:pStyle w:val="Compact"/>
        <w:numPr>
          <w:ilvl w:val="0"/>
          <w:numId w:val="1004"/>
        </w:numPr>
      </w:pPr>
      <w:r>
        <w:t xml:space="preserve">Для получения вероятности делим 93 на 243. Получаем что вероятность равна 0.383</w:t>
      </w:r>
    </w:p>
    <w:p>
      <w:pPr>
        <w:pStyle w:val="FirstParagraph"/>
      </w:pPr>
      <w:r>
        <w:t xml:space="preserve">Пример графика для изменения количества шаров в урне (рис. 4).</w:t>
      </w:r>
    </w:p>
    <w:bookmarkStart w:id="45" w:name="fig:003"/>
    <w:p>
      <w:pPr>
        <w:pStyle w:val="CaptionedFigure"/>
      </w:pPr>
      <w:r>
        <w:drawing>
          <wp:inline>
            <wp:extent cx="3733800" cy="2314472"/>
            <wp:effectExtent b="0" l="0" r="0" t="0"/>
            <wp:docPr descr="Рис. 4: Модель баланса" title="" id="43" name="Picture"/>
            <a:graphic>
              <a:graphicData uri="http://schemas.openxmlformats.org/drawingml/2006/picture">
                <pic:pic>
                  <pic:nvPicPr>
                    <pic:cNvPr descr="image/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4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Модель баланса</w:t>
      </w:r>
    </w:p>
    <w:bookmarkEnd w:id="45"/>
    <w:bookmarkEnd w:id="46"/>
    <w:bookmarkEnd w:id="47"/>
    <w:bookmarkStart w:id="4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Урновые модели — мощный инструмент математического моделирования, применяемый в теории вероятностей, статистической физике, компьютерных науках, экономике и социологии. Разные модификации позволяют описывать сложные системы с вероятностными взаимодействиями.</w:t>
      </w:r>
    </w:p>
    <w:bookmarkEnd w:id="48"/>
    <w:bookmarkStart w:id="50" w:name="список-литературы"/>
    <w:p>
      <w:pPr>
        <w:pStyle w:val="Heading1"/>
      </w:pPr>
      <w:r>
        <w:t xml:space="preserve">Список литературы</w:t>
      </w:r>
    </w:p>
    <w:bookmarkStart w:id="49" w:name="refs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5" Target="media/rId35.png" /><Relationship Type="http://schemas.openxmlformats.org/officeDocument/2006/relationships/image" Id="rId42" Target="media/rId42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Дикач Анна Олеговна</dc:creator>
  <dc:language>ru-RU</dc:language>
  <cp:keywords/>
  <dcterms:created xsi:type="dcterms:W3CDTF">2025-04-18T20:48:04Z</dcterms:created>
  <dcterms:modified xsi:type="dcterms:W3CDTF">2025-04-18T20:48:04Z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False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Математические модели с урнами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