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№8</w:t>
      </w:r>
    </w:p>
    <w:p>
      <w:pPr>
        <w:pStyle w:val="Subtitle"/>
      </w:pPr>
      <w:r>
        <w:t xml:space="preserve">Админимстрирование локальных сетей</w:t>
      </w:r>
    </w:p>
    <w:p>
      <w:pPr>
        <w:pStyle w:val="Author"/>
      </w:pPr>
      <w:r>
        <w:t xml:space="preserve">Дикач Анна Олеговна НПИбд-01-22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настройке динамического распреде- ления IP-адресов посредством протокола DHCP в локальной сети.</w:t>
      </w:r>
    </w:p>
    <w:bookmarkEnd w:id="20"/>
    <w:bookmarkStart w:id="85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В логическую обласьь добавляю сервер dns и подключаю его к коммутатору.Активирую привязанные порты и настраиваю конфигурацию сервера (рис. 1) (рис. 2) (рис. 3) (рис. 4).</w:t>
      </w:r>
    </w:p>
    <w:bookmarkStart w:id="24" w:name="fig:001"/>
    <w:p>
      <w:pPr>
        <w:pStyle w:val="CaptionedFigure"/>
      </w:pPr>
      <w:r>
        <w:drawing>
          <wp:inline>
            <wp:extent cx="3733800" cy="2338098"/>
            <wp:effectExtent b="0" l="0" r="0" t="0"/>
            <wp:docPr descr="Рис. 1: Добавление сервера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80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Добавление сервера</w:t>
      </w:r>
    </w:p>
    <w:bookmarkEnd w:id="24"/>
    <w:bookmarkStart w:id="28" w:name="fig:002"/>
    <w:p>
      <w:pPr>
        <w:pStyle w:val="CaptionedFigure"/>
      </w:pPr>
      <w:r>
        <w:drawing>
          <wp:inline>
            <wp:extent cx="3733800" cy="2250371"/>
            <wp:effectExtent b="0" l="0" r="0" t="0"/>
            <wp:docPr descr="Рис. 2: Настройка портов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03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Настройка портов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1484973"/>
            <wp:effectExtent b="0" l="0" r="0" t="0"/>
            <wp:docPr descr="Рис. 3: Настройка сервера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849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Настройка сервера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1639487"/>
            <wp:effectExtent b="0" l="0" r="0" t="0"/>
            <wp:docPr descr="Рис. 4: Настройка сервера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394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Настройка сервера</w:t>
      </w:r>
    </w:p>
    <w:bookmarkEnd w:id="36"/>
    <w:p>
      <w:pPr>
        <w:pStyle w:val="Compact"/>
        <w:numPr>
          <w:ilvl w:val="0"/>
          <w:numId w:val="1002"/>
        </w:numPr>
      </w:pPr>
      <w:r>
        <w:t xml:space="preserve">В конфигурации сервера выбираю службу DNS и активирую её. Добавляю записи о всех серверах (рис. 5) (рис. 6) (рис. 7) (рис. 8).</w:t>
      </w:r>
    </w:p>
    <w:bookmarkStart w:id="40" w:name="fig:005"/>
    <w:p>
      <w:pPr>
        <w:pStyle w:val="CaptionedFigure"/>
      </w:pPr>
      <w:r>
        <w:drawing>
          <wp:inline>
            <wp:extent cx="3733800" cy="2191426"/>
            <wp:effectExtent b="0" l="0" r="0" t="0"/>
            <wp:docPr descr="Рис. 5: Добавление сервера" title="" id="38" name="Picture"/>
            <a:graphic>
              <a:graphicData uri="http://schemas.openxmlformats.org/drawingml/2006/picture">
                <pic:pic>
                  <pic:nvPicPr>
                    <pic:cNvPr descr="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14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Добавление сервера</w:t>
      </w:r>
    </w:p>
    <w:bookmarkEnd w:id="40"/>
    <w:bookmarkStart w:id="44" w:name="fig:006"/>
    <w:p>
      <w:pPr>
        <w:pStyle w:val="CaptionedFigure"/>
      </w:pPr>
      <w:r>
        <w:drawing>
          <wp:inline>
            <wp:extent cx="3733800" cy="2147276"/>
            <wp:effectExtent b="0" l="0" r="0" t="0"/>
            <wp:docPr descr="Рис. 6: Добавление сервера" title="" id="42" name="Picture"/>
            <a:graphic>
              <a:graphicData uri="http://schemas.openxmlformats.org/drawingml/2006/picture">
                <pic:pic>
                  <pic:nvPicPr>
                    <pic:cNvPr descr="image/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72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Добавление сервера</w:t>
      </w:r>
    </w:p>
    <w:bookmarkEnd w:id="44"/>
    <w:bookmarkStart w:id="48" w:name="fig:007"/>
    <w:p>
      <w:pPr>
        <w:pStyle w:val="CaptionedFigure"/>
      </w:pPr>
      <w:r>
        <w:drawing>
          <wp:inline>
            <wp:extent cx="3733800" cy="2416402"/>
            <wp:effectExtent b="0" l="0" r="0" t="0"/>
            <wp:docPr descr="Рис. 7: Добавление сервера" title="" id="46" name="Picture"/>
            <a:graphic>
              <a:graphicData uri="http://schemas.openxmlformats.org/drawingml/2006/picture">
                <pic:pic>
                  <pic:nvPicPr>
                    <pic:cNvPr descr="image/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164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Добавление сервера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2573851"/>
            <wp:effectExtent b="0" l="0" r="0" t="0"/>
            <wp:docPr descr="Рис. 8: Добавление сервера" title="" id="50" name="Picture"/>
            <a:graphic>
              <a:graphicData uri="http://schemas.openxmlformats.org/drawingml/2006/picture">
                <pic:pic>
                  <pic:nvPicPr>
                    <pic:cNvPr descr="image/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38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Добавление сервера</w:t>
      </w:r>
    </w:p>
    <w:bookmarkEnd w:id="52"/>
    <w:p>
      <w:pPr>
        <w:pStyle w:val="Compact"/>
        <w:numPr>
          <w:ilvl w:val="0"/>
          <w:numId w:val="1003"/>
        </w:numPr>
      </w:pPr>
      <w:r>
        <w:t xml:space="preserve">Настраиваю DHCP-сервис на маршрутизаторе с помощью скрипта из текста лабораторной работы (рис. 9).</w:t>
      </w:r>
    </w:p>
    <w:bookmarkStart w:id="56" w:name="fig:009"/>
    <w:p>
      <w:pPr>
        <w:pStyle w:val="CaptionedFigure"/>
      </w:pPr>
      <w:r>
        <w:drawing>
          <wp:inline>
            <wp:extent cx="3733800" cy="3419675"/>
            <wp:effectExtent b="0" l="0" r="0" t="0"/>
            <wp:docPr descr="Рис. 9: Настройка DHCP-сервиса" title="" id="54" name="Picture"/>
            <a:graphic>
              <a:graphicData uri="http://schemas.openxmlformats.org/drawingml/2006/picture">
                <pic:pic>
                  <pic:nvPicPr>
                    <pic:cNvPr descr="image/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19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Настройка DHCP-сервиса</w:t>
      </w:r>
    </w:p>
    <w:bookmarkEnd w:id="56"/>
    <w:p>
      <w:pPr>
        <w:pStyle w:val="Compact"/>
        <w:numPr>
          <w:ilvl w:val="0"/>
          <w:numId w:val="1004"/>
        </w:numPr>
      </w:pPr>
      <w:r>
        <w:t xml:space="preserve">Просматриваю информацию о пулах DHCP (рис. 10).</w:t>
      </w:r>
    </w:p>
    <w:bookmarkStart w:id="60" w:name="fig:010"/>
    <w:p>
      <w:pPr>
        <w:pStyle w:val="CaptionedFigure"/>
      </w:pPr>
      <w:r>
        <w:drawing>
          <wp:inline>
            <wp:extent cx="3733800" cy="3230967"/>
            <wp:effectExtent b="0" l="0" r="0" t="0"/>
            <wp:docPr descr="Рис. 10: Вывод информации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309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Вывод информации</w:t>
      </w:r>
    </w:p>
    <w:bookmarkEnd w:id="60"/>
    <w:p>
      <w:pPr>
        <w:pStyle w:val="Compact"/>
        <w:numPr>
          <w:ilvl w:val="0"/>
          <w:numId w:val="1005"/>
        </w:numPr>
      </w:pPr>
      <w:r>
        <w:t xml:space="preserve">Просматриваю информацию о привязках выданных адресов (рис. 11).</w:t>
      </w:r>
    </w:p>
    <w:bookmarkStart w:id="64" w:name="fig:011"/>
    <w:p>
      <w:pPr>
        <w:pStyle w:val="CaptionedFigure"/>
      </w:pPr>
      <w:r>
        <w:drawing>
          <wp:inline>
            <wp:extent cx="3733800" cy="408228"/>
            <wp:effectExtent b="0" l="0" r="0" t="0"/>
            <wp:docPr descr="Рис. 11: Вывод информации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2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Вывод информации</w:t>
      </w:r>
    </w:p>
    <w:bookmarkEnd w:id="64"/>
    <w:p>
      <w:pPr>
        <w:pStyle w:val="Compact"/>
        <w:numPr>
          <w:ilvl w:val="0"/>
          <w:numId w:val="1006"/>
        </w:numPr>
      </w:pPr>
      <w:r>
        <w:t xml:space="preserve">На оконечных устройствах меняю статистическое распредление адресов на динамическое (рис. 12) (рис. 13).</w:t>
      </w:r>
    </w:p>
    <w:bookmarkStart w:id="68" w:name="fig:012"/>
    <w:p>
      <w:pPr>
        <w:pStyle w:val="CaptionedFigure"/>
      </w:pPr>
      <w:r>
        <w:drawing>
          <wp:inline>
            <wp:extent cx="3733800" cy="1679417"/>
            <wp:effectExtent b="0" l="0" r="0" t="0"/>
            <wp:docPr descr="Рис. 12: Изменение настроек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94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Изменение настроек</w:t>
      </w:r>
    </w:p>
    <w:bookmarkEnd w:id="68"/>
    <w:bookmarkStart w:id="72" w:name="fig:013"/>
    <w:p>
      <w:pPr>
        <w:pStyle w:val="CaptionedFigure"/>
      </w:pPr>
      <w:r>
        <w:drawing>
          <wp:inline>
            <wp:extent cx="3733800" cy="1651181"/>
            <wp:effectExtent b="0" l="0" r="0" t="0"/>
            <wp:docPr descr="Рис. 13: Изменение настроек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1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Изменение настроек</w:t>
      </w:r>
    </w:p>
    <w:bookmarkEnd w:id="72"/>
    <w:p>
      <w:pPr>
        <w:pStyle w:val="Compact"/>
        <w:numPr>
          <w:ilvl w:val="0"/>
          <w:numId w:val="1007"/>
        </w:numPr>
      </w:pPr>
      <w:r>
        <w:t xml:space="preserve">Проверяю какие адреса выделяются оконечным устройствам, а также доступность устройств из разных подсетей (рис. 14).</w:t>
      </w:r>
    </w:p>
    <w:bookmarkStart w:id="76" w:name="fig:014"/>
    <w:p>
      <w:pPr>
        <w:pStyle w:val="CaptionedFigure"/>
      </w:pPr>
      <w:r>
        <w:drawing>
          <wp:inline>
            <wp:extent cx="3733800" cy="2712589"/>
            <wp:effectExtent b="0" l="0" r="0" t="0"/>
            <wp:docPr descr="Рис. 14: Проверка" title="" id="74" name="Picture"/>
            <a:graphic>
              <a:graphicData uri="http://schemas.openxmlformats.org/drawingml/2006/picture">
                <pic:pic>
                  <pic:nvPicPr>
                    <pic:cNvPr descr="image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125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Проверка</w:t>
      </w:r>
    </w:p>
    <w:bookmarkEnd w:id="76"/>
    <w:p>
      <w:pPr>
        <w:pStyle w:val="Compact"/>
        <w:numPr>
          <w:ilvl w:val="0"/>
          <w:numId w:val="1008"/>
        </w:numPr>
      </w:pPr>
      <w:r>
        <w:t xml:space="preserve">В режиме симуляции изучаю каким образом происходит запрос адреса по протоколу DHCP (рис. 15) (рис. 16).</w:t>
      </w:r>
    </w:p>
    <w:bookmarkStart w:id="80" w:name="fig:015"/>
    <w:p>
      <w:pPr>
        <w:pStyle w:val="CaptionedFigure"/>
      </w:pPr>
      <w:r>
        <w:drawing>
          <wp:inline>
            <wp:extent cx="3733800" cy="2180904"/>
            <wp:effectExtent b="0" l="0" r="0" t="0"/>
            <wp:docPr descr="Рис. 15: Запуск симуляции" title="" id="78" name="Picture"/>
            <a:graphic>
              <a:graphicData uri="http://schemas.openxmlformats.org/drawingml/2006/picture">
                <pic:pic>
                  <pic:nvPicPr>
                    <pic:cNvPr descr="image/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09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Запуск симуляции</w:t>
      </w:r>
    </w:p>
    <w:bookmarkEnd w:id="80"/>
    <w:bookmarkStart w:id="84" w:name="fig:016"/>
    <w:p>
      <w:pPr>
        <w:pStyle w:val="CaptionedFigure"/>
      </w:pPr>
      <w:r>
        <w:drawing>
          <wp:inline>
            <wp:extent cx="3733800" cy="1442155"/>
            <wp:effectExtent b="0" l="0" r="0" t="0"/>
            <wp:docPr descr="Рис. 16: Просмтр движения пакетов" title="" id="82" name="Picture"/>
            <a:graphic>
              <a:graphicData uri="http://schemas.openxmlformats.org/drawingml/2006/picture">
                <pic:pic>
                  <pic:nvPicPr>
                    <pic:cNvPr descr="image/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421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Просмтр движения пакетов</w:t>
      </w:r>
    </w:p>
    <w:bookmarkEnd w:id="84"/>
    <w:bookmarkEnd w:id="85"/>
    <w:bookmarkStart w:id="86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Приобрела практические навыки по настройке динамического распределения IP-адресов посредством протокола DHCP в локальной сети.</w:t>
      </w:r>
    </w:p>
    <w:bookmarkEnd w:id="86"/>
    <w:bookmarkStart w:id="87" w:name="ответ-на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Ответ на вопросы</w:t>
      </w:r>
    </w:p>
    <w:p>
      <w:pPr>
        <w:numPr>
          <w:ilvl w:val="0"/>
          <w:numId w:val="1009"/>
        </w:numPr>
      </w:pPr>
      <w:r>
        <w:t xml:space="preserve">Протокол DHCP отвечает за автоматическую настройку IP-адресов и других сетевых параметров для устройств в сети.</w:t>
      </w:r>
    </w:p>
    <w:p>
      <w:pPr>
        <w:numPr>
          <w:ilvl w:val="0"/>
          <w:numId w:val="1009"/>
        </w:numPr>
      </w:pPr>
      <w:r>
        <w:t xml:space="preserve">Типы DHCP-сообщений: DHCPDISCOVER, DHCPOFFER, DHCPREQUEST, DHCPACK, DHCPNAK, DHCPRELEASE, DHCPINFORM.</w:t>
      </w:r>
    </w:p>
    <w:p>
      <w:pPr>
        <w:numPr>
          <w:ilvl w:val="0"/>
          <w:numId w:val="1009"/>
        </w:numPr>
      </w:pPr>
      <w:r>
        <w:t xml:space="preserve">Параметры в сообщениях DHCP: IP-адрес, маска подсети, шлюз по умолчанию, DNS-серверы, время аренды IP-адреса и другие настройки.</w:t>
      </w:r>
    </w:p>
    <w:p>
      <w:pPr>
        <w:numPr>
          <w:ilvl w:val="0"/>
          <w:numId w:val="1009"/>
        </w:numPr>
      </w:pPr>
      <w:r>
        <w:t xml:space="preserve">DNS (Domain Name System) — это система, которая переводит доменные имена в IP-адреса и обратно.</w:t>
      </w:r>
    </w:p>
    <w:p>
      <w:pPr>
        <w:numPr>
          <w:ilvl w:val="0"/>
          <w:numId w:val="1009"/>
        </w:numPr>
      </w:pPr>
      <w:r>
        <w:t xml:space="preserve">Типы записей DNS:</w:t>
      </w:r>
    </w:p>
    <w:p>
      <w:pPr>
        <w:numPr>
          <w:ilvl w:val="0"/>
          <w:numId w:val="1000"/>
        </w:numPr>
      </w:pPr>
      <w:r>
        <w:t xml:space="preserve">• A (Address) — соответствует доменному имени и его IPv4-адресу.</w:t>
      </w:r>
    </w:p>
    <w:p>
      <w:pPr>
        <w:numPr>
          <w:ilvl w:val="0"/>
          <w:numId w:val="1000"/>
        </w:numPr>
      </w:pPr>
      <w:r>
        <w:t xml:space="preserve">• AAAA — соответствует доменному имени и его IPv6-адресу.</w:t>
      </w:r>
    </w:p>
    <w:p>
      <w:pPr>
        <w:numPr>
          <w:ilvl w:val="0"/>
          <w:numId w:val="1000"/>
        </w:numPr>
      </w:pPr>
      <w:r>
        <w:t xml:space="preserve">• CNAME (Canonical Name) — указывает на другое доменное имя.</w:t>
      </w:r>
    </w:p>
    <w:p>
      <w:pPr>
        <w:numPr>
          <w:ilvl w:val="0"/>
          <w:numId w:val="1000"/>
        </w:numPr>
      </w:pPr>
      <w:r>
        <w:t xml:space="preserve">• MX (Mail Exchange) — определяет почтовые серверы для домена.</w:t>
      </w:r>
    </w:p>
    <w:p>
      <w:pPr>
        <w:numPr>
          <w:ilvl w:val="0"/>
          <w:numId w:val="1000"/>
        </w:numPr>
      </w:pPr>
      <w:r>
        <w:t xml:space="preserve">• NS (Name Server) — указывает на серверы имен для домена.</w:t>
      </w:r>
    </w:p>
    <w:p>
      <w:pPr>
        <w:numPr>
          <w:ilvl w:val="0"/>
          <w:numId w:val="1000"/>
        </w:numPr>
      </w:pPr>
      <w:r>
        <w:t xml:space="preserve">• TXT — содержит текстовую информацию, часто используется для верификации.</w:t>
      </w:r>
    </w:p>
    <w:bookmarkEnd w:id="87"/>
    <w:bookmarkStart w:id="89" w:name="список-литературы"/>
    <w:p>
      <w:pPr>
        <w:pStyle w:val="Heading1"/>
      </w:pPr>
      <w:r>
        <w:t xml:space="preserve">Список литературы</w:t>
      </w:r>
    </w:p>
    <w:bookmarkStart w:id="88" w:name="refs"/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8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№8</dc:title>
  <dc:creator>Дикач Анна Олеговна НПИбд-01-22</dc:creator>
  <dc:language>ru-RU</dc:language>
  <cp:keywords/>
  <dcterms:created xsi:type="dcterms:W3CDTF">2025-03-27T13:08:57Z</dcterms:created>
  <dcterms:modified xsi:type="dcterms:W3CDTF">2025-03-27T13:08:57Z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Админимстрирование локальных сетей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