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Админимстрирование локальных сетей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локальной сети организации к Интернету.</w:t>
      </w:r>
    </w:p>
    <w:bookmarkEnd w:id="20"/>
    <w:bookmarkStart w:id="8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Строю схему подсоединения локальной сети к Интернету, модельные сети провайдера в сети Интернет (схемы L1, L2, L3), а также распределение IP-адресов (рис. 1)(рис. 2)(рис. 3)(рис. 4).</w:t>
      </w:r>
    </w:p>
    <w:bookmarkStart w:id="24" w:name="fig:001"/>
    <w:p>
      <w:pPr>
        <w:pStyle w:val="CaptionedFigure"/>
      </w:pPr>
      <w:r>
        <w:drawing>
          <wp:inline>
            <wp:extent cx="3733800" cy="3858885"/>
            <wp:effectExtent b="0" l="0" r="0" t="0"/>
            <wp:docPr descr="Рис. 1: L1" title="" id="22" name="Picture"/>
            <a:graphic>
              <a:graphicData uri="http://schemas.openxmlformats.org/drawingml/2006/picture">
                <pic:pic>
                  <pic:nvPicPr>
                    <pic:cNvPr descr="image/L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8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L1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4062845"/>
            <wp:effectExtent b="0" l="0" r="0" t="0"/>
            <wp:docPr descr="Рис. 2: L2" title="" id="26" name="Picture"/>
            <a:graphic>
              <a:graphicData uri="http://schemas.openxmlformats.org/drawingml/2006/picture">
                <pic:pic>
                  <pic:nvPicPr>
                    <pic:cNvPr descr="image/L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L2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758767"/>
            <wp:effectExtent b="0" l="0" r="0" t="0"/>
            <wp:docPr descr="Рис. 3: L3" title="" id="30" name="Picture"/>
            <a:graphic>
              <a:graphicData uri="http://schemas.openxmlformats.org/drawingml/2006/picture">
                <pic:pic>
                  <pic:nvPicPr>
                    <pic:cNvPr descr="image/L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8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L3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080605"/>
            <wp:effectExtent b="0" l="0" r="0" t="0"/>
            <wp:docPr descr="Рис. 4: Распределение ip-адресов модельного Интернета" title="" id="34" name="Picture"/>
            <a:graphic>
              <a:graphicData uri="http://schemas.openxmlformats.org/drawingml/2006/picture">
                <pic:pic>
                  <pic:nvPicPr>
                    <pic:cNvPr descr="image/L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0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Распределение ip-адресов модельного Интернета</w:t>
      </w:r>
    </w:p>
    <w:bookmarkEnd w:id="36"/>
    <w:p>
      <w:pPr>
        <w:pStyle w:val="Compact"/>
        <w:numPr>
          <w:ilvl w:val="0"/>
          <w:numId w:val="1002"/>
        </w:numPr>
      </w:pPr>
      <w:r>
        <w:t xml:space="preserve">Размещаю на схеме проекта 4 медиаконвертера, 2 коммутатора, маршрутизатор и 4 сервера, присваиваю им названия (рис. 5).</w:t>
      </w:r>
    </w:p>
    <w:bookmarkStart w:id="40" w:name="fig:005"/>
    <w:p>
      <w:pPr>
        <w:pStyle w:val="CaptionedFigure"/>
      </w:pPr>
      <w:r>
        <w:drawing>
          <wp:inline>
            <wp:extent cx="3733800" cy="1860484"/>
            <wp:effectExtent b="0" l="0" r="0" t="0"/>
            <wp:docPr descr="Рис. 5: Размещение" title="" id="38" name="Picture"/>
            <a:graphic>
              <a:graphicData uri="http://schemas.openxmlformats.org/drawingml/2006/picture">
                <pic:pic>
                  <pic:nvPicPr>
                    <pic:cNvPr descr="image/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Размещение</w:t>
      </w:r>
    </w:p>
    <w:bookmarkEnd w:id="40"/>
    <w:p>
      <w:pPr>
        <w:pStyle w:val="Compact"/>
        <w:numPr>
          <w:ilvl w:val="0"/>
          <w:numId w:val="1003"/>
        </w:numPr>
      </w:pPr>
      <w:r>
        <w:t xml:space="preserve">В физической рабочей области добавляю 2 здания - Internet и Provider. Переношу всё необходимое оборудывание в соответсвующие здания (рис. 6) (рис. 7).</w:t>
      </w:r>
    </w:p>
    <w:bookmarkStart w:id="44" w:name="fig:006"/>
    <w:p>
      <w:pPr>
        <w:pStyle w:val="CaptionedFigure"/>
      </w:pPr>
      <w:r>
        <w:drawing>
          <wp:inline>
            <wp:extent cx="3733800" cy="3187164"/>
            <wp:effectExtent b="0" l="0" r="0" t="0"/>
            <wp:docPr descr="Рис. 6: Размещение в здании Internet" title="" id="42" name="Picture"/>
            <a:graphic>
              <a:graphicData uri="http://schemas.openxmlformats.org/drawingml/2006/picture">
                <pic:pic>
                  <pic:nvPicPr>
                    <pic:cNvPr descr="image/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7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Размещение в здании Internet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2881018"/>
            <wp:effectExtent b="0" l="0" r="0" t="0"/>
            <wp:docPr descr="Рис. 7: Размещение в здании Provider" title="" id="46" name="Picture"/>
            <a:graphic>
              <a:graphicData uri="http://schemas.openxmlformats.org/drawingml/2006/picture">
                <pic:pic>
                  <pic:nvPicPr>
                    <pic:cNvPr descr="image/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1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Размещение в здании Provider</w:t>
      </w:r>
    </w:p>
    <w:bookmarkEnd w:id="48"/>
    <w:p>
      <w:pPr>
        <w:pStyle w:val="Compact"/>
        <w:numPr>
          <w:ilvl w:val="0"/>
          <w:numId w:val="1004"/>
        </w:numPr>
      </w:pPr>
      <w:r>
        <w:t xml:space="preserve">На медиаконвертерах заменяю модули на PT-REPEATER- NM-1FFE и PT-REPEATER-NM-1CFE для подключения витой пары по технологии Fast Ethernet и оптоволокна соответственно (рис. 8).</w:t>
      </w:r>
    </w:p>
    <w:bookmarkStart w:id="52" w:name="fig:008"/>
    <w:p>
      <w:pPr>
        <w:pStyle w:val="CaptionedFigure"/>
      </w:pPr>
      <w:r>
        <w:drawing>
          <wp:inline>
            <wp:extent cx="3733800" cy="1339931"/>
            <wp:effectExtent b="0" l="0" r="0" t="0"/>
            <wp:docPr descr="Рис. 8: Изменение настроек" title="" id="50" name="Picture"/>
            <a:graphic>
              <a:graphicData uri="http://schemas.openxmlformats.org/drawingml/2006/picture">
                <pic:pic>
                  <pic:nvPicPr>
                    <pic:cNvPr descr="image/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9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Изменение настроек</w:t>
      </w:r>
    </w:p>
    <w:bookmarkEnd w:id="52"/>
    <w:p>
      <w:pPr>
        <w:pStyle w:val="Compact"/>
        <w:numPr>
          <w:ilvl w:val="0"/>
          <w:numId w:val="1005"/>
        </w:numPr>
      </w:pPr>
      <w:r>
        <w:t xml:space="preserve">Провожу соединение объектов согласно скорректированной схеме (рис. 9).</w:t>
      </w:r>
    </w:p>
    <w:bookmarkStart w:id="56" w:name="fig:009"/>
    <w:p>
      <w:pPr>
        <w:pStyle w:val="CaptionedFigure"/>
      </w:pPr>
      <w:r>
        <w:drawing>
          <wp:inline>
            <wp:extent cx="3733800" cy="2490717"/>
            <wp:effectExtent b="0" l="0" r="0" t="0"/>
            <wp:docPr descr="Рис. 9: Соединение" title="" id="54" name="Picture"/>
            <a:graphic>
              <a:graphicData uri="http://schemas.openxmlformats.org/drawingml/2006/picture">
                <pic:pic>
                  <pic:nvPicPr>
                    <pic:cNvPr descr="image/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Соединение</w:t>
      </w:r>
    </w:p>
    <w:bookmarkEnd w:id="56"/>
    <w:p>
      <w:pPr>
        <w:pStyle w:val="Compact"/>
        <w:numPr>
          <w:ilvl w:val="0"/>
          <w:numId w:val="1006"/>
        </w:numPr>
      </w:pPr>
      <w:r>
        <w:t xml:space="preserve">Прописываю IP-адреса серверам согласно таблице распределения (рис. 10) (рис. 11) (рис. 12) (рис. 13) (рис. 14).</w:t>
      </w:r>
    </w:p>
    <w:bookmarkStart w:id="60" w:name="fig:011"/>
    <w:p>
      <w:pPr>
        <w:pStyle w:val="CaptionedFigure"/>
      </w:pPr>
      <w:r>
        <w:drawing>
          <wp:inline>
            <wp:extent cx="3733800" cy="2221104"/>
            <wp:effectExtent b="0" l="0" r="0" t="0"/>
            <wp:docPr descr="Рис. 10: Настройка www.yandex.ru" title="" id="58" name="Picture"/>
            <a:graphic>
              <a:graphicData uri="http://schemas.openxmlformats.org/drawingml/2006/picture">
                <pic:pic>
                  <pic:nvPicPr>
                    <pic:cNvPr descr="image/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1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www.yandex.ru</w:t>
      </w:r>
    </w:p>
    <w:bookmarkEnd w:id="60"/>
    <w:bookmarkStart w:id="64" w:name="fig:012"/>
    <w:p>
      <w:pPr>
        <w:pStyle w:val="CaptionedFigure"/>
      </w:pPr>
      <w:r>
        <w:drawing>
          <wp:inline>
            <wp:extent cx="3733800" cy="2236031"/>
            <wp:effectExtent b="0" l="0" r="0" t="0"/>
            <wp:docPr descr="Рис. 11: Настройка www.yandex.ru" title="" id="62" name="Picture"/>
            <a:graphic>
              <a:graphicData uri="http://schemas.openxmlformats.org/drawingml/2006/picture">
                <pic:pic>
                  <pic:nvPicPr>
                    <pic:cNvPr descr="image/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6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www.yandex.ru</w:t>
      </w:r>
    </w:p>
    <w:bookmarkEnd w:id="64"/>
    <w:bookmarkStart w:id="68" w:name="fig:013"/>
    <w:p>
      <w:pPr>
        <w:pStyle w:val="CaptionedFigure"/>
      </w:pPr>
      <w:r>
        <w:drawing>
          <wp:inline>
            <wp:extent cx="3733800" cy="2212423"/>
            <wp:effectExtent b="0" l="0" r="0" t="0"/>
            <wp:docPr descr="Рис. 12: Настройка stud.rudn.university" title="" id="66" name="Picture"/>
            <a:graphic>
              <a:graphicData uri="http://schemas.openxmlformats.org/drawingml/2006/picture">
                <pic:pic>
                  <pic:nvPicPr>
                    <pic:cNvPr descr="image/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2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stud.rudn.university</w:t>
      </w:r>
    </w:p>
    <w:bookmarkEnd w:id="68"/>
    <w:bookmarkStart w:id="72" w:name="fig:014"/>
    <w:p>
      <w:pPr>
        <w:pStyle w:val="CaptionedFigure"/>
      </w:pPr>
      <w:r>
        <w:drawing>
          <wp:inline>
            <wp:extent cx="3733800" cy="2296901"/>
            <wp:effectExtent b="0" l="0" r="0" t="0"/>
            <wp:docPr descr="Рис. 13: Настройка esystem.pfur.ru" title="" id="70" name="Picture"/>
            <a:graphic>
              <a:graphicData uri="http://schemas.openxmlformats.org/drawingml/2006/picture">
                <pic:pic>
                  <pic:nvPicPr>
                    <pic:cNvPr descr="image/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esystem.pfur.ru</w:t>
      </w:r>
    </w:p>
    <w:bookmarkEnd w:id="72"/>
    <w:bookmarkStart w:id="76" w:name="fig:015"/>
    <w:p>
      <w:pPr>
        <w:pStyle w:val="CaptionedFigure"/>
      </w:pPr>
      <w:r>
        <w:drawing>
          <wp:inline>
            <wp:extent cx="3733800" cy="2223259"/>
            <wp:effectExtent b="0" l="0" r="0" t="0"/>
            <wp:docPr descr="Рис. 14: Настройка www.rudn.ru" title="" id="74" name="Picture"/>
            <a:graphic>
              <a:graphicData uri="http://schemas.openxmlformats.org/drawingml/2006/picture">
                <pic:pic>
                  <pic:nvPicPr>
                    <pic:cNvPr descr="image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www.rudn.ru</w:t>
      </w:r>
    </w:p>
    <w:bookmarkEnd w:id="76"/>
    <w:p>
      <w:pPr>
        <w:pStyle w:val="Compact"/>
        <w:numPr>
          <w:ilvl w:val="0"/>
          <w:numId w:val="1007"/>
        </w:numPr>
      </w:pPr>
      <w:r>
        <w:t xml:space="preserve">Прописываю свдеения о серверах на DNS-сервер сети</w:t>
      </w:r>
      <w:r>
        <w:t xml:space="preserve"> </w:t>
      </w:r>
      <w:r>
        <w:t xml:space="preserve">“Донская”</w:t>
      </w:r>
      <w:r>
        <w:t xml:space="preserve"> </w:t>
      </w:r>
      <w:r>
        <w:t xml:space="preserve">(рис. 15).</w:t>
      </w:r>
    </w:p>
    <w:bookmarkStart w:id="80" w:name="fig:016"/>
    <w:p>
      <w:pPr>
        <w:pStyle w:val="CaptionedFigure"/>
      </w:pPr>
      <w:r>
        <w:drawing>
          <wp:inline>
            <wp:extent cx="3733800" cy="2848356"/>
            <wp:effectExtent b="0" l="0" r="0" t="0"/>
            <wp:docPr descr="Рис. 15: Прописанные сервера" title="" id="78" name="Picture"/>
            <a:graphic>
              <a:graphicData uri="http://schemas.openxmlformats.org/drawingml/2006/picture">
                <pic:pic>
                  <pic:nvPicPr>
                    <pic:cNvPr descr="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8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Прописанные сервера</w:t>
      </w:r>
    </w:p>
    <w:bookmarkEnd w:id="80"/>
    <w:bookmarkEnd w:id="81"/>
    <w:bookmarkStart w:id="8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Провела подготовительные мероприятия по подключению локальной сети организации к интернету.</w:t>
      </w:r>
    </w:p>
    <w:bookmarkEnd w:id="82"/>
    <w:bookmarkStart w:id="83" w:name="ответ-на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вопросы</w:t>
      </w:r>
    </w:p>
    <w:p>
      <w:pPr>
        <w:numPr>
          <w:ilvl w:val="0"/>
          <w:numId w:val="1008"/>
        </w:numPr>
      </w:pPr>
      <w:r>
        <w:t xml:space="preserve">Network Address Translation (NAT) — это метод преобразования IP-адресов, который позволяет нескольким устройствам в локальной сети использовать один внешний IP-адрес.</w:t>
      </w:r>
    </w:p>
    <w:p>
      <w:pPr>
        <w:numPr>
          <w:ilvl w:val="0"/>
          <w:numId w:val="1008"/>
        </w:numPr>
      </w:pPr>
      <w:r>
        <w:t xml:space="preserve">Определение узла за NAT: Узел находится за NAT, если его локальный IP-адрес не соответствует публичному адресу и не доступен напрямую из Интернета.</w:t>
      </w:r>
    </w:p>
    <w:p>
      <w:pPr>
        <w:numPr>
          <w:ilvl w:val="0"/>
          <w:numId w:val="1008"/>
        </w:numPr>
      </w:pPr>
      <w:r>
        <w:t xml:space="preserve">Оборудование для NAT: За преобразование адресов методом NAT отвечает маршрутизатор или брандмауэр.</w:t>
      </w:r>
    </w:p>
    <w:p>
      <w:pPr>
        <w:numPr>
          <w:ilvl w:val="0"/>
          <w:numId w:val="1008"/>
        </w:numPr>
      </w:pPr>
      <w:r>
        <w:t xml:space="preserve">Отличия NAT:</w:t>
      </w:r>
    </w:p>
    <w:p>
      <w:pPr>
        <w:numPr>
          <w:ilvl w:val="0"/>
          <w:numId w:val="1000"/>
        </w:numPr>
      </w:pPr>
      <w:r>
        <w:t xml:space="preserve">• Статический NAT: Один внешний адрес соответствует одному внутреннему.</w:t>
      </w:r>
    </w:p>
    <w:p>
      <w:pPr>
        <w:numPr>
          <w:ilvl w:val="0"/>
          <w:numId w:val="1000"/>
        </w:numPr>
      </w:pPr>
      <w:r>
        <w:t xml:space="preserve">• Динамический NAT: Внутренние адреса временно сопоставляются с пулом внешних адресов.</w:t>
      </w:r>
    </w:p>
    <w:p>
      <w:pPr>
        <w:numPr>
          <w:ilvl w:val="0"/>
          <w:numId w:val="1000"/>
        </w:numPr>
      </w:pPr>
      <w:r>
        <w:t xml:space="preserve">• Перегруженный NAT (PAT): Несколько внутренних адресов используют один внешний адрес с различными портами.</w:t>
      </w:r>
    </w:p>
    <w:p>
      <w:pPr>
        <w:numPr>
          <w:ilvl w:val="0"/>
          <w:numId w:val="1008"/>
        </w:numPr>
      </w:pPr>
      <w:r>
        <w:t xml:space="preserve">Типы NAT:</w:t>
      </w:r>
    </w:p>
    <w:p>
      <w:pPr>
        <w:numPr>
          <w:ilvl w:val="0"/>
          <w:numId w:val="1000"/>
        </w:numPr>
      </w:pPr>
      <w:r>
        <w:t xml:space="preserve">• Статический NAT: Постоянное сопоставление адресов.</w:t>
      </w:r>
    </w:p>
    <w:p>
      <w:pPr>
        <w:numPr>
          <w:ilvl w:val="0"/>
          <w:numId w:val="1000"/>
        </w:numPr>
      </w:pPr>
      <w:r>
        <w:t xml:space="preserve">• Динамический NAT: Временное сопоставление из пула адресов.</w:t>
      </w:r>
    </w:p>
    <w:p>
      <w:pPr>
        <w:numPr>
          <w:ilvl w:val="0"/>
          <w:numId w:val="1000"/>
        </w:numPr>
      </w:pPr>
      <w:r>
        <w:t xml:space="preserve">• Перегруженный NAT (PAT): Использует один внешний адрес для множества внутренних.</w:t>
      </w:r>
    </w:p>
    <w:p>
      <w:pPr>
        <w:numPr>
          <w:ilvl w:val="0"/>
          <w:numId w:val="1000"/>
        </w:numPr>
      </w:pPr>
      <w:r>
        <w:t xml:space="preserve">• NAT с поддержкой протоколов (например, ALG): Обрабатывает специфические протоколы для корректной работы.</w:t>
      </w:r>
    </w:p>
    <w:bookmarkEnd w:id="83"/>
    <w:bookmarkStart w:id="85" w:name="список-литературы"/>
    <w:p>
      <w:pPr>
        <w:pStyle w:val="Heading1"/>
      </w:pPr>
      <w:r>
        <w:t xml:space="preserve">Список литературы</w:t>
      </w:r>
    </w:p>
    <w:bookmarkStart w:id="84" w:name="refs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Дикач Анна Олеговна НПИбд-01-22</dc:creator>
  <dc:language>ru-RU</dc:language>
  <cp:keywords/>
  <dcterms:created xsi:type="dcterms:W3CDTF">2025-04-14T13:50:13Z</dcterms:created>
  <dcterms:modified xsi:type="dcterms:W3CDTF">2025-04-14T13:50:13Z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Админимстрирование локальных сетей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