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Добавляю маршрутизатор Cisco 2811 в сеть и подключаю его к 24 порту коммутатора msk-donskaya-aodikch-sw-01.</w:t>
      </w:r>
    </w:p>
    <w:p>
      <w:pPr>
        <w:numPr>
          <w:ilvl w:val="0"/>
          <w:numId w:val="1001"/>
        </w:numPr>
      </w:pPr>
      <w:r>
        <w:t xml:space="preserve">Провожу первичное конфигурирование маршрутизатора. Настраиваю имя, пароль, удалённое подключение по ssh</w:t>
      </w:r>
      <w:r>
        <w:t xml:space="preserve"> </w:t>
      </w:r>
      <w:r>
        <w:t xml:space="preserve">(рис. 1).</w:t>
      </w:r>
    </w:p>
    <w:bookmarkStart w:id="24" w:name="fig:001"/>
    <w:p>
      <w:pPr>
        <w:pStyle w:val="CaptionedFigure"/>
      </w:pPr>
      <w:r>
        <w:drawing>
          <wp:inline>
            <wp:extent cx="3733800" cy="3547376"/>
            <wp:effectExtent b="0" l="0" r="0" t="0"/>
            <wp:docPr descr="Рис. 1: Нвстройка маршрутизато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Нвстройка маршрутизатора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Настраиваю порт коммутатора на msk-donskaya-aodikach-sw-01 как trunk-порт (рис. 2).</w:t>
      </w:r>
    </w:p>
    <w:bookmarkStart w:id="28" w:name="fig:002"/>
    <w:p>
      <w:pPr>
        <w:pStyle w:val="CaptionedFigure"/>
      </w:pPr>
      <w:r>
        <w:drawing>
          <wp:inline>
            <wp:extent cx="3733800" cy="3217876"/>
            <wp:effectExtent b="0" l="0" r="0" t="0"/>
            <wp:docPr descr="Рис. 2: Настройка коммутато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коммутатора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Настраиваю виртуальные интерфейсы в соответсвии с номерами VLAN опираясь на таблицу IP-адресов (рис. 3) (рис. 4).</w:t>
      </w:r>
    </w:p>
    <w:bookmarkStart w:id="32" w:name="fig:003"/>
    <w:p>
      <w:pPr>
        <w:pStyle w:val="CaptionedFigure"/>
      </w:pPr>
      <w:r>
        <w:drawing>
          <wp:inline>
            <wp:extent cx="3733800" cy="3231686"/>
            <wp:effectExtent b="0" l="0" r="0" t="0"/>
            <wp:docPr descr="Рис. 3: Настройка маршрутиз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маршрутизатора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216402"/>
            <wp:effectExtent b="0" l="0" r="0" t="0"/>
            <wp:docPr descr="Рис. 4: Настройка маршрутизато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маршрутизатора</w:t>
      </w:r>
    </w:p>
    <w:bookmarkEnd w:id="36"/>
    <w:p>
      <w:pPr>
        <w:pStyle w:val="Compact"/>
        <w:numPr>
          <w:ilvl w:val="0"/>
          <w:numId w:val="1004"/>
        </w:numPr>
      </w:pPr>
      <w:r>
        <w:t xml:space="preserve">Проверяю доступность устройств с помощью команды ping (рис. 5).</w:t>
      </w:r>
    </w:p>
    <w:bookmarkStart w:id="40" w:name="fig:005"/>
    <w:p>
      <w:pPr>
        <w:pStyle w:val="CaptionedFigure"/>
      </w:pPr>
      <w:r>
        <w:drawing>
          <wp:inline>
            <wp:extent cx="3733800" cy="3536442"/>
            <wp:effectExtent b="0" l="0" r="0" t="0"/>
            <wp:docPr descr="Рис. 5: Проверка доступност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доступности</w:t>
      </w:r>
    </w:p>
    <w:bookmarkEnd w:id="40"/>
    <w:p>
      <w:pPr>
        <w:pStyle w:val="Compact"/>
        <w:numPr>
          <w:ilvl w:val="0"/>
          <w:numId w:val="1005"/>
        </w:numPr>
      </w:pPr>
      <w:r>
        <w:t xml:space="preserve">Запускаю симуляцию и просматриваю процесс передвижения пакета ICMP (рис. 6) (рис. 7) (рис. 8) (рис. 9) .</w:t>
      </w:r>
    </w:p>
    <w:bookmarkStart w:id="44" w:name="fig:006"/>
    <w:p>
      <w:pPr>
        <w:pStyle w:val="CaptionedFigure"/>
      </w:pPr>
      <w:r>
        <w:drawing>
          <wp:inline>
            <wp:extent cx="3733800" cy="2346377"/>
            <wp:effectExtent b="0" l="0" r="0" t="0"/>
            <wp:docPr descr="Рис. 6: Симуляция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Симуляция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624120"/>
            <wp:effectExtent b="0" l="0" r="0" t="0"/>
            <wp:docPr descr="Рис. 7: Симуляция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Симуляция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24189"/>
            <wp:effectExtent b="0" l="0" r="0" t="0"/>
            <wp:docPr descr="Рис. 8: Симуляция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Симуляция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500737"/>
            <wp:effectExtent b="0" l="0" r="0" t="0"/>
            <wp:docPr descr="Рис. 9: Симуляция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Симуляция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Настроила статистическую маршрутизацию VLAN в сети.</w:t>
      </w:r>
    </w:p>
    <w:bookmarkEnd w:id="58"/>
    <w:bookmarkStart w:id="59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IEEE 802.1Q</w:t>
      </w:r>
      <w:r>
        <w:t xml:space="preserve"> </w:t>
      </w:r>
      <w:r>
        <w:t xml:space="preserve">— стандарт, определяющий механизм VLAN (виртуальных локальных сетей) и тегирование кадров для их идентификации в сетях Ethernet. Позволяет разделять трафик на логические сегменты.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Формат кадра IEEE 802.1Q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Вставляется 4-байтовый тег (VLAN Tag) между полями MAC-адресов и EtherType.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Тег включает:</w:t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TPID (Tag Protocol Identifier, 2 байта)</w:t>
      </w:r>
      <w:r>
        <w:t xml:space="preserve">: Указывает на наличие тега (обычно 0x8100).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PCP (Priority Code Point, 3 бита)</w:t>
      </w:r>
      <w:r>
        <w:t xml:space="preserve">: Приоритет кадра.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DEI (Drop Eligible Indicator, 1 бит)</w:t>
      </w:r>
      <w:r>
        <w:t xml:space="preserve">: Флаг возможности отбрасывания кадра.</w:t>
      </w:r>
      <w:r>
        <w:br/>
      </w:r>
    </w:p>
    <w:p>
      <w:pPr>
        <w:pStyle w:val="Compact"/>
        <w:numPr>
          <w:ilvl w:val="2"/>
          <w:numId w:val="1008"/>
        </w:numPr>
      </w:pPr>
      <w:r>
        <w:rPr>
          <w:b/>
          <w:bCs/>
        </w:rPr>
        <w:t xml:space="preserve">VID (VLAN Identifier, 12 бит)</w:t>
      </w:r>
      <w:r>
        <w:t xml:space="preserve">: Идентификатор VLAN (диапазон 0–4095).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Дикач Анна Олеговна НПИбд-01-22</dc:creator>
  <dc:language>ru-RU</dc:language>
  <cp:keywords/>
  <dcterms:created xsi:type="dcterms:W3CDTF">2025-03-19T13:54:43Z</dcterms:created>
  <dcterms:modified xsi:type="dcterms:W3CDTF">2025-03-19T13:54:43Z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