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57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настройке VLAN на коммутаторах сети.</w:t>
      </w:r>
    </w:p>
    <w:bookmarkEnd w:id="20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последовательность из текста лабораторной работы провожу конфигурацию Trunk-порта на коммутатору msk-donskaya-aodikach-sw-01 и msk-pavlovskaya-aodikach-sw-1 (рис. 1) (рис. 2).</w:t>
      </w:r>
    </w:p>
    <w:bookmarkStart w:id="24" w:name="fig:001"/>
    <w:p>
      <w:pPr>
        <w:pStyle w:val="CaptionedFigure"/>
      </w:pPr>
      <w:r>
        <w:drawing>
          <wp:inline>
            <wp:extent cx="3733800" cy="3458621"/>
            <wp:effectExtent b="0" l="0" r="0" t="0"/>
            <wp:docPr descr="Рис. 1: Настройка Trunk-порт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8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Trunk-портов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3257819"/>
            <wp:effectExtent b="0" l="0" r="0" t="0"/>
            <wp:docPr descr="Рис. 2: Настройка Trunk-пор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Trunk-портов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Прописываю конфигурацию диапазонов портов и конфигурации VTP msk-donskaya-aodikach-sw-01 (рис. 3) (рис. 4).</w:t>
      </w:r>
    </w:p>
    <w:bookmarkStart w:id="32" w:name="fig:003"/>
    <w:p>
      <w:pPr>
        <w:pStyle w:val="CaptionedFigure"/>
      </w:pPr>
      <w:r>
        <w:drawing>
          <wp:inline>
            <wp:extent cx="3733800" cy="4403271"/>
            <wp:effectExtent b="0" l="0" r="0" t="0"/>
            <wp:docPr descr="Рис. 3: Настройка коммутатор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коммутаторов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4222944"/>
            <wp:effectExtent b="0" l="0" r="0" t="0"/>
            <wp:docPr descr="Рис. 4: Настройка коммутаторов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коммутаторов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Провожу настройку конфигурации Trunk-портов, VTP и диапазона портов для msk-donskaya-aodikach-sw-02 (рис. 5) (рис. 6).</w:t>
      </w:r>
    </w:p>
    <w:bookmarkStart w:id="40" w:name="fig:005"/>
    <w:p>
      <w:pPr>
        <w:pStyle w:val="CaptionedFigure"/>
      </w:pPr>
      <w:r>
        <w:drawing>
          <wp:inline>
            <wp:extent cx="3733800" cy="3248405"/>
            <wp:effectExtent b="0" l="0" r="0" t="0"/>
            <wp:docPr descr="Рис. 5: Настройка Trunk-портов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Trunk-портов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69772"/>
            <wp:effectExtent b="0" l="0" r="0" t="0"/>
            <wp:docPr descr="Рис. 6: Настройка VTP и диапазона портов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VTP и диапазона портов</w:t>
      </w:r>
    </w:p>
    <w:bookmarkEnd w:id="44"/>
    <w:p>
      <w:pPr>
        <w:pStyle w:val="Compact"/>
        <w:numPr>
          <w:ilvl w:val="0"/>
          <w:numId w:val="1004"/>
        </w:numPr>
      </w:pPr>
      <w:r>
        <w:t xml:space="preserve">Провожу настройку конфигурации Trunk-портов, VTP и диапазона портов для msk-donskaya-aodikach-sw-03 (рис. 7).</w:t>
      </w:r>
    </w:p>
    <w:bookmarkStart w:id="48" w:name="fig:007"/>
    <w:p>
      <w:pPr>
        <w:pStyle w:val="CaptionedFigure"/>
      </w:pPr>
      <w:r>
        <w:drawing>
          <wp:inline>
            <wp:extent cx="3733800" cy="3560888"/>
            <wp:effectExtent b="0" l="0" r="0" t="0"/>
            <wp:docPr descr="Рис. 7: Настройка коммутатор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коммутатора</w:t>
      </w:r>
    </w:p>
    <w:bookmarkEnd w:id="48"/>
    <w:p>
      <w:pPr>
        <w:pStyle w:val="Compact"/>
        <w:numPr>
          <w:ilvl w:val="0"/>
          <w:numId w:val="1005"/>
        </w:numPr>
      </w:pPr>
      <w:r>
        <w:t xml:space="preserve">Провожу настройку конфигурации Trunk-портов, VTP и диапазона портов для msk-donskaya-aodikach-sw-04 (рис. 8) (рис. 9).</w:t>
      </w:r>
    </w:p>
    <w:bookmarkStart w:id="52" w:name="fig:008"/>
    <w:p>
      <w:pPr>
        <w:pStyle w:val="CaptionedFigure"/>
      </w:pPr>
      <w:r>
        <w:drawing>
          <wp:inline>
            <wp:extent cx="3733800" cy="2332287"/>
            <wp:effectExtent b="0" l="0" r="0" t="0"/>
            <wp:docPr descr="Рис. 8: Настройка коммутатор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коммутатора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03461"/>
            <wp:effectExtent b="0" l="0" r="0" t="0"/>
            <wp:docPr descr="Рис. 9: Настройка коммутатор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коммутатора</w:t>
      </w:r>
    </w:p>
    <w:bookmarkEnd w:id="56"/>
    <w:p>
      <w:pPr>
        <w:pStyle w:val="Compact"/>
        <w:numPr>
          <w:ilvl w:val="0"/>
          <w:numId w:val="1006"/>
        </w:numPr>
      </w:pPr>
      <w:r>
        <w:t xml:space="preserve">В построенной сети все коммутаторы активны (рис. 10).</w:t>
      </w:r>
    </w:p>
    <w:bookmarkStart w:id="60" w:name="fig:012"/>
    <w:p>
      <w:pPr>
        <w:pStyle w:val="CaptionedFigure"/>
      </w:pPr>
      <w:r>
        <w:drawing>
          <wp:inline>
            <wp:extent cx="3733800" cy="2162414"/>
            <wp:effectExtent b="0" l="0" r="0" t="0"/>
            <wp:docPr descr="Рис. 10: Построенная и настроенная сеть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Построенная и настроенная сеть</w:t>
      </w:r>
    </w:p>
    <w:bookmarkEnd w:id="60"/>
    <w:p>
      <w:pPr>
        <w:pStyle w:val="Compact"/>
        <w:numPr>
          <w:ilvl w:val="0"/>
          <w:numId w:val="1007"/>
        </w:numPr>
      </w:pPr>
      <w:r>
        <w:t xml:space="preserve">Проверяю результат проделанной работы на dep-donskaya-aodikach-1 и пробую пропинговать устройство из другой сети. Неудачно (рис. 11) (рис. 12).</w:t>
      </w:r>
    </w:p>
    <w:bookmarkStart w:id="64" w:name="fig:010"/>
    <w:p>
      <w:pPr>
        <w:pStyle w:val="CaptionedFigure"/>
      </w:pPr>
      <w:r>
        <w:drawing>
          <wp:inline>
            <wp:extent cx="3733800" cy="1339931"/>
            <wp:effectExtent b="0" l="0" r="0" t="0"/>
            <wp:docPr descr="Рис. 11: Проверка корректност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корректности</w:t>
      </w:r>
    </w:p>
    <w:bookmarkEnd w:id="64"/>
    <w:bookmarkStart w:id="68" w:name="fig:011"/>
    <w:p>
      <w:pPr>
        <w:pStyle w:val="CaptionedFigure"/>
      </w:pPr>
      <w:r>
        <w:drawing>
          <wp:inline>
            <wp:extent cx="3733800" cy="1179094"/>
            <wp:effectExtent b="0" l="0" r="0" t="0"/>
            <wp:docPr descr="Рис. 12: Неудачная попытка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Неудачная попытка</w:t>
      </w:r>
    </w:p>
    <w:bookmarkEnd w:id="68"/>
    <w:p>
      <w:pPr>
        <w:pStyle w:val="Compact"/>
        <w:numPr>
          <w:ilvl w:val="0"/>
          <w:numId w:val="1008"/>
        </w:numPr>
      </w:pPr>
      <w:r>
        <w:t xml:space="preserve">Запускаю симуляцию. В сети на одной улице пакеты коммуницируют друг с другом верно, однако при попытке передать пакеты на другую улицу вылезает ошибка (рис. 13) (рис. 14).</w:t>
      </w:r>
    </w:p>
    <w:bookmarkStart w:id="72" w:name="fig:013"/>
    <w:p>
      <w:pPr>
        <w:pStyle w:val="CaptionedFigure"/>
      </w:pPr>
      <w:r>
        <w:drawing>
          <wp:inline>
            <wp:extent cx="3733800" cy="2082650"/>
            <wp:effectExtent b="0" l="0" r="0" t="0"/>
            <wp:docPr descr="Рис. 13: Запуск симуляции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симуляции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2529801"/>
            <wp:effectExtent b="0" l="0" r="0" t="0"/>
            <wp:docPr descr="Рис. 14: Разбор одного из отправленных пакет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Разбор одного из отправленных пакетов</w:t>
      </w:r>
    </w:p>
    <w:bookmarkEnd w:id="76"/>
    <w:bookmarkEnd w:id="77"/>
    <w:bookmarkStart w:id="7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Получила основные навыки по настройке VLAN на коммутаторах сети.</w:t>
      </w:r>
    </w:p>
    <w:bookmarkEnd w:id="78"/>
    <w:bookmarkStart w:id="79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Команда для просмотра списка VLAN: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vlan brief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VLAN Trunking Protocol (VTP):</w:t>
      </w:r>
    </w:p>
    <w:p>
      <w:pPr>
        <w:pStyle w:val="Compact"/>
        <w:numPr>
          <w:ilvl w:val="1"/>
          <w:numId w:val="1010"/>
        </w:numPr>
      </w:pPr>
      <w:r>
        <w:t xml:space="preserve">Протокол для синхронизации информации о VLAN между коммутаторами.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Команды:</w:t>
      </w:r>
    </w:p>
    <w:p>
      <w:pPr>
        <w:numPr>
          <w:ilvl w:val="2"/>
          <w:numId w:val="1011"/>
        </w:numPr>
      </w:pPr>
      <w:r>
        <w:t xml:space="preserve">Настройка режима VTP:</w:t>
      </w:r>
    </w:p>
    <w:p>
      <w:pPr>
        <w:pStyle w:val="SourceCode"/>
        <w:numPr>
          <w:ilvl w:val="2"/>
          <w:numId w:val="1000"/>
        </w:numPr>
      </w:pPr>
      <w:r>
        <w:rPr>
          <w:rStyle w:val="ExtensionTok"/>
        </w:rPr>
        <w:t xml:space="preserve">vtp</w:t>
      </w:r>
      <w:r>
        <w:rPr>
          <w:rStyle w:val="NormalTok"/>
        </w:rPr>
        <w:t xml:space="preserve"> mode [server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transparent]</w:t>
      </w:r>
    </w:p>
    <w:p>
      <w:pPr>
        <w:numPr>
          <w:ilvl w:val="2"/>
          <w:numId w:val="1011"/>
        </w:numPr>
      </w:pPr>
      <w:r>
        <w:t xml:space="preserve">Настройка домена VTP:</w:t>
      </w:r>
    </w:p>
    <w:p>
      <w:pPr>
        <w:pStyle w:val="SourceCode"/>
        <w:numPr>
          <w:ilvl w:val="2"/>
          <w:numId w:val="1000"/>
        </w:numPr>
      </w:pPr>
      <w:r>
        <w:rPr>
          <w:rStyle w:val="ExtensionTok"/>
        </w:rPr>
        <w:t xml:space="preserve">vtp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имя_домена</w:t>
      </w:r>
      <w:r>
        <w:rPr>
          <w:rStyle w:val="OperatorTok"/>
        </w:rPr>
        <w:t xml:space="preserve">&gt;</w:t>
      </w:r>
    </w:p>
    <w:p>
      <w:pPr>
        <w:numPr>
          <w:ilvl w:val="2"/>
          <w:numId w:val="1011"/>
        </w:numPr>
      </w:pPr>
      <w:r>
        <w:t xml:space="preserve">Просмотр информации о VTP:</w:t>
      </w:r>
    </w:p>
    <w:p>
      <w:pPr>
        <w:pStyle w:val="SourceCode"/>
        <w:numPr>
          <w:ilvl w:val="2"/>
          <w:numId w:val="1000"/>
        </w:numPr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vtp status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Internet Control Message Protocol (ICMP):</w:t>
      </w:r>
    </w:p>
    <w:p>
      <w:pPr>
        <w:pStyle w:val="Compact"/>
        <w:numPr>
          <w:ilvl w:val="1"/>
          <w:numId w:val="1012"/>
        </w:numPr>
      </w:pPr>
      <w:r>
        <w:t xml:space="preserve">Протокол для отправки сообщений об ошибках и диагностики сети.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Формат пакета ICMP:</w:t>
      </w:r>
    </w:p>
    <w:p>
      <w:pPr>
        <w:pStyle w:val="Compact"/>
        <w:numPr>
          <w:ilvl w:val="2"/>
          <w:numId w:val="1013"/>
        </w:numPr>
      </w:pPr>
      <w:r>
        <w:t xml:space="preserve">Тип (8 бит) — тип сообщения (например, Echo Request/Reply).</w:t>
      </w:r>
    </w:p>
    <w:p>
      <w:pPr>
        <w:pStyle w:val="Compact"/>
        <w:numPr>
          <w:ilvl w:val="2"/>
          <w:numId w:val="1013"/>
        </w:numPr>
      </w:pPr>
      <w:r>
        <w:t xml:space="preserve">Код (8 бит) — уточнение типа.</w:t>
      </w:r>
    </w:p>
    <w:p>
      <w:pPr>
        <w:pStyle w:val="Compact"/>
        <w:numPr>
          <w:ilvl w:val="2"/>
          <w:numId w:val="1013"/>
        </w:numPr>
      </w:pPr>
      <w:r>
        <w:t xml:space="preserve">Контрольная сумма (16 бит) — проверка целостности.</w:t>
      </w:r>
    </w:p>
    <w:p>
      <w:pPr>
        <w:pStyle w:val="Compact"/>
        <w:numPr>
          <w:ilvl w:val="2"/>
          <w:numId w:val="1013"/>
        </w:numPr>
      </w:pPr>
      <w:r>
        <w:t xml:space="preserve">Данные (переменная длина) — полезная нагрузка.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Address Resolution Protocol (ARP):</w:t>
      </w:r>
    </w:p>
    <w:p>
      <w:pPr>
        <w:pStyle w:val="Compact"/>
        <w:numPr>
          <w:ilvl w:val="1"/>
          <w:numId w:val="1014"/>
        </w:numPr>
      </w:pPr>
      <w:r>
        <w:t xml:space="preserve">Протокол для определения MAC-адреса по IP-адресу.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Формат пакета ARP:</w:t>
      </w:r>
    </w:p>
    <w:p>
      <w:pPr>
        <w:pStyle w:val="Compact"/>
        <w:numPr>
          <w:ilvl w:val="2"/>
          <w:numId w:val="1015"/>
        </w:numPr>
      </w:pPr>
      <w:r>
        <w:t xml:space="preserve">Тип сети (2 байта) — например, Ethernet (0x0001).</w:t>
      </w:r>
    </w:p>
    <w:p>
      <w:pPr>
        <w:pStyle w:val="Compact"/>
        <w:numPr>
          <w:ilvl w:val="2"/>
          <w:numId w:val="1015"/>
        </w:numPr>
      </w:pPr>
      <w:r>
        <w:t xml:space="preserve">Тип протокола (2 байта) — например, IPv4 (0x0800).</w:t>
      </w:r>
    </w:p>
    <w:p>
      <w:pPr>
        <w:pStyle w:val="Compact"/>
        <w:numPr>
          <w:ilvl w:val="2"/>
          <w:numId w:val="1015"/>
        </w:numPr>
      </w:pPr>
      <w:r>
        <w:t xml:space="preserve">Длина MAC-адреса (1 байт).</w:t>
      </w:r>
    </w:p>
    <w:p>
      <w:pPr>
        <w:pStyle w:val="Compact"/>
        <w:numPr>
          <w:ilvl w:val="2"/>
          <w:numId w:val="1015"/>
        </w:numPr>
      </w:pPr>
      <w:r>
        <w:t xml:space="preserve">Длина IP-адреса (1 байт).</w:t>
      </w:r>
    </w:p>
    <w:p>
      <w:pPr>
        <w:pStyle w:val="Compact"/>
        <w:numPr>
          <w:ilvl w:val="2"/>
          <w:numId w:val="1015"/>
        </w:numPr>
      </w:pPr>
      <w:r>
        <w:t xml:space="preserve">Операция (2 байта) — запрос (1) или ответ (2).</w:t>
      </w:r>
    </w:p>
    <w:p>
      <w:pPr>
        <w:pStyle w:val="Compact"/>
        <w:numPr>
          <w:ilvl w:val="2"/>
          <w:numId w:val="1015"/>
        </w:numPr>
      </w:pPr>
      <w:r>
        <w:t xml:space="preserve">MAC-адрес отправителя (6 байт).</w:t>
      </w:r>
    </w:p>
    <w:p>
      <w:pPr>
        <w:pStyle w:val="Compact"/>
        <w:numPr>
          <w:ilvl w:val="2"/>
          <w:numId w:val="1015"/>
        </w:numPr>
      </w:pPr>
      <w:r>
        <w:t xml:space="preserve">IP-адрес отправителя (4 байта).</w:t>
      </w:r>
    </w:p>
    <w:p>
      <w:pPr>
        <w:pStyle w:val="Compact"/>
        <w:numPr>
          <w:ilvl w:val="2"/>
          <w:numId w:val="1015"/>
        </w:numPr>
      </w:pPr>
      <w:r>
        <w:t xml:space="preserve">MAC-адрес получателя (6 байт).</w:t>
      </w:r>
    </w:p>
    <w:p>
      <w:pPr>
        <w:pStyle w:val="Compact"/>
        <w:numPr>
          <w:ilvl w:val="2"/>
          <w:numId w:val="1015"/>
        </w:numPr>
      </w:pPr>
      <w:r>
        <w:t xml:space="preserve">IP-адрес получателя (4 байта).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MAC-адрес:</w:t>
      </w:r>
    </w:p>
    <w:p>
      <w:pPr>
        <w:pStyle w:val="Compact"/>
        <w:numPr>
          <w:ilvl w:val="1"/>
          <w:numId w:val="1016"/>
        </w:numPr>
      </w:pPr>
      <w:r>
        <w:t xml:space="preserve">Уникальный идентификатор сетевого устройства на канальном уровне.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Структура:</w:t>
      </w:r>
    </w:p>
    <w:p>
      <w:pPr>
        <w:pStyle w:val="Compact"/>
        <w:numPr>
          <w:ilvl w:val="2"/>
          <w:numId w:val="1017"/>
        </w:numPr>
      </w:pPr>
      <w:r>
        <w:t xml:space="preserve">6 байт (48 бит), записывается в формате</w:t>
      </w:r>
      <w:r>
        <w:t xml:space="preserve"> </w:t>
      </w:r>
      <w:r>
        <w:rPr>
          <w:rStyle w:val="VerbatimChar"/>
        </w:rPr>
        <w:t xml:space="preserve">XX:XX:XX:XX:XX:XX</w:t>
      </w:r>
      <w:r>
        <w:t xml:space="preserve">.</w:t>
      </w:r>
    </w:p>
    <w:p>
      <w:pPr>
        <w:pStyle w:val="Compact"/>
        <w:numPr>
          <w:ilvl w:val="2"/>
          <w:numId w:val="1017"/>
        </w:numPr>
      </w:pPr>
      <w:r>
        <w:t xml:space="preserve">Первые 3 байта — идентификатор производителя (OUI).</w:t>
      </w:r>
    </w:p>
    <w:p>
      <w:pPr>
        <w:pStyle w:val="Compact"/>
        <w:numPr>
          <w:ilvl w:val="2"/>
          <w:numId w:val="1017"/>
        </w:numPr>
      </w:pPr>
      <w:r>
        <w:t xml:space="preserve">Последние 3 байта — уникальный номер устройства.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Дикач Анна Олеговна НПИбд-01-22</dc:creator>
  <dc:language>ru-RU</dc:language>
  <cp:keywords/>
  <dcterms:created xsi:type="dcterms:W3CDTF">2025-03-11T16:24:26Z</dcterms:created>
  <dcterms:modified xsi:type="dcterms:W3CDTF">2025-03-11T16:24:26Z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