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Админимстрирование локальных сетей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организации взаимодействия через сеть провайдера посредством статической маршрутизации локальной сети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8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Вношу изменения в схемы L1, L2, L3 сети, добавив в них информацию о сети основной территории (рис. 1) (рис. 2) (рис. 3).</w:t>
      </w:r>
    </w:p>
    <w:bookmarkStart w:id="24" w:name="fig:001"/>
    <w:p>
      <w:pPr>
        <w:pStyle w:val="CaptionedFigure"/>
      </w:pPr>
      <w:r>
        <w:drawing>
          <wp:inline>
            <wp:extent cx="3733800" cy="3752178"/>
            <wp:effectExtent b="0" l="0" r="0" t="0"/>
            <wp:docPr descr="Рис. 1: Схема сети L1" title="" id="22" name="Picture"/>
            <a:graphic>
              <a:graphicData uri="http://schemas.openxmlformats.org/drawingml/2006/picture">
                <pic:pic>
                  <pic:nvPicPr>
                    <pic:cNvPr descr="image/L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2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 сети L1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3618990"/>
            <wp:effectExtent b="0" l="0" r="0" t="0"/>
            <wp:docPr descr="Рис. 2: Схема сети L2" title="" id="26" name="Picture"/>
            <a:graphic>
              <a:graphicData uri="http://schemas.openxmlformats.org/drawingml/2006/picture">
                <pic:pic>
                  <pic:nvPicPr>
                    <pic:cNvPr descr="image/L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8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Схема сети L2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864383"/>
            <wp:effectExtent b="0" l="0" r="0" t="0"/>
            <wp:docPr descr="Рис. 3: Схема сети L3" title="" id="30" name="Picture"/>
            <a:graphic>
              <a:graphicData uri="http://schemas.openxmlformats.org/drawingml/2006/picture">
                <pic:pic>
                  <pic:nvPicPr>
                    <pic:cNvPr descr="image/L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Схема сети L3</w:t>
      </w:r>
    </w:p>
    <w:bookmarkEnd w:id="32"/>
    <w:p>
      <w:pPr>
        <w:pStyle w:val="Compact"/>
        <w:numPr>
          <w:ilvl w:val="0"/>
          <w:numId w:val="1002"/>
        </w:numPr>
      </w:pPr>
      <w:r>
        <w:t xml:space="preserve">Дополняю схему проекта, даю коррекные названия устройствам (рис. 4).</w:t>
      </w:r>
    </w:p>
    <w:bookmarkStart w:id="36" w:name="fig:004"/>
    <w:p>
      <w:pPr>
        <w:pStyle w:val="CaptionedFigure"/>
      </w:pPr>
      <w:r>
        <w:drawing>
          <wp:inline>
            <wp:extent cx="3733800" cy="2862757"/>
            <wp:effectExtent b="0" l="0" r="0" t="0"/>
            <wp:docPr descr="Рис. 4: Изменённая схема проект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2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Изменённая схема проекта</w:t>
      </w:r>
    </w:p>
    <w:bookmarkEnd w:id="36"/>
    <w:p>
      <w:pPr>
        <w:pStyle w:val="Compact"/>
        <w:numPr>
          <w:ilvl w:val="0"/>
          <w:numId w:val="1003"/>
        </w:numPr>
      </w:pPr>
      <w:r>
        <w:t xml:space="preserve">На медиаконвертерах заменяю имеющиеся модули на PT-REPEATER- NM-1FFE и PT-REPEATER-NM-1CFE для подключения витой пары по технологии Fast Ethernet и оптоволокна соответственно (рис. 5).</w:t>
      </w:r>
    </w:p>
    <w:bookmarkStart w:id="40" w:name="fig:005"/>
    <w:p>
      <w:pPr>
        <w:pStyle w:val="CaptionedFigure"/>
      </w:pPr>
      <w:r>
        <w:drawing>
          <wp:inline>
            <wp:extent cx="3733800" cy="1377570"/>
            <wp:effectExtent b="0" l="0" r="0" t="0"/>
            <wp:docPr descr="Рис. 5: Изменения на медиаконвекторах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7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Изменения на медиаконвекторах</w:t>
      </w:r>
    </w:p>
    <w:bookmarkEnd w:id="40"/>
    <w:p>
      <w:pPr>
        <w:pStyle w:val="Compact"/>
        <w:numPr>
          <w:ilvl w:val="0"/>
          <w:numId w:val="1004"/>
        </w:numPr>
      </w:pPr>
      <w:r>
        <w:t xml:space="preserve">На маршрутизаторе добавляю дополнительный интерфейс (рис. 6).</w:t>
      </w:r>
    </w:p>
    <w:bookmarkStart w:id="44" w:name="fig:006"/>
    <w:p>
      <w:pPr>
        <w:pStyle w:val="CaptionedFigure"/>
      </w:pPr>
      <w:r>
        <w:drawing>
          <wp:inline>
            <wp:extent cx="3733800" cy="1228643"/>
            <wp:effectExtent b="0" l="0" r="0" t="0"/>
            <wp:docPr descr="Рис. 6: Дополнительный интерфейс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8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Дополнительный интерфейс</w:t>
      </w:r>
    </w:p>
    <w:bookmarkEnd w:id="44"/>
    <w:p>
      <w:pPr>
        <w:pStyle w:val="Compact"/>
        <w:numPr>
          <w:ilvl w:val="0"/>
          <w:numId w:val="1005"/>
        </w:numPr>
      </w:pPr>
      <w:r>
        <w:t xml:space="preserve">В физической рабочей части добавляю 42-й квартал, город сочи и на нём улицу Uni Sochi (рис. 7) (рис. 8) (рис. 9).</w:t>
      </w:r>
    </w:p>
    <w:bookmarkStart w:id="48" w:name="fig:007"/>
    <w:p>
      <w:pPr>
        <w:pStyle w:val="CaptionedFigure"/>
      </w:pPr>
      <w:r>
        <w:drawing>
          <wp:inline>
            <wp:extent cx="2851904" cy="1905532"/>
            <wp:effectExtent b="0" l="0" r="0" t="0"/>
            <wp:docPr descr="Рис. 7: Изминения в физической части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904" cy="1905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Изминения в физической части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650139"/>
            <wp:effectExtent b="0" l="0" r="0" t="0"/>
            <wp:docPr descr="Рис. 8: Изминения в физической части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0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Изминения в физической части</w:t>
      </w:r>
    </w:p>
    <w:bookmarkEnd w:id="52"/>
    <w:bookmarkStart w:id="56" w:name="fig:009"/>
    <w:p>
      <w:pPr>
        <w:pStyle w:val="CaptionedFigure"/>
      </w:pPr>
      <w:r>
        <w:drawing>
          <wp:inline>
            <wp:extent cx="3184413" cy="1982265"/>
            <wp:effectExtent b="0" l="0" r="0" t="0"/>
            <wp:docPr descr="Рис. 9: Изминения в физической части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413" cy="1982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Изминения в физической части</w:t>
      </w:r>
    </w:p>
    <w:bookmarkEnd w:id="56"/>
    <w:p>
      <w:pPr>
        <w:pStyle w:val="Compact"/>
        <w:numPr>
          <w:ilvl w:val="0"/>
          <w:numId w:val="1006"/>
        </w:numPr>
      </w:pPr>
      <w:r>
        <w:t xml:space="preserve">Переношу оборудывание в соответсвии с распределением (рис. 10)(рис. 11).</w:t>
      </w:r>
    </w:p>
    <w:bookmarkStart w:id="60" w:name="fig:010"/>
    <w:p>
      <w:pPr>
        <w:pStyle w:val="CaptionedFigure"/>
      </w:pPr>
      <w:r>
        <w:drawing>
          <wp:inline>
            <wp:extent cx="3427401" cy="3683177"/>
            <wp:effectExtent b="0" l="0" r="0" t="0"/>
            <wp:docPr descr="Рис. 10: Перенос оборудывания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401" cy="3683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Перенос оборудывания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737731"/>
            <wp:effectExtent b="0" l="0" r="0" t="0"/>
            <wp:docPr descr="Рис. 11: Корректность перенос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Корректность переноса</w:t>
      </w:r>
    </w:p>
    <w:bookmarkEnd w:id="64"/>
    <w:p>
      <w:pPr>
        <w:pStyle w:val="Compact"/>
        <w:numPr>
          <w:ilvl w:val="0"/>
          <w:numId w:val="1007"/>
        </w:numPr>
      </w:pPr>
      <w:r>
        <w:t xml:space="preserve">Провожу первонаальную настройку маршрутизатора msk-q42-aodikach-gw-01 (рис. 12).</w:t>
      </w:r>
    </w:p>
    <w:bookmarkStart w:id="68" w:name="fig:012"/>
    <w:p>
      <w:pPr>
        <w:pStyle w:val="CaptionedFigure"/>
      </w:pPr>
      <w:r>
        <w:drawing>
          <wp:inline>
            <wp:extent cx="3733800" cy="3479846"/>
            <wp:effectExtent b="0" l="0" r="0" t="0"/>
            <wp:docPr descr="Рис. 12: Настройка маршрутизатор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9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маршрутизатора</w:t>
      </w:r>
    </w:p>
    <w:bookmarkEnd w:id="68"/>
    <w:p>
      <w:pPr>
        <w:pStyle w:val="Compact"/>
        <w:numPr>
          <w:ilvl w:val="0"/>
          <w:numId w:val="1008"/>
        </w:numPr>
      </w:pPr>
      <w:r>
        <w:t xml:space="preserve">Провожу первоначальную настройку коммутатора msk-q42-aodiakch-sw-01 (рис. 13).</w:t>
      </w:r>
    </w:p>
    <w:bookmarkStart w:id="72" w:name="fig:013"/>
    <w:p>
      <w:pPr>
        <w:pStyle w:val="CaptionedFigure"/>
      </w:pPr>
      <w:r>
        <w:drawing>
          <wp:inline>
            <wp:extent cx="3733800" cy="2685948"/>
            <wp:effectExtent b="0" l="0" r="0" t="0"/>
            <wp:docPr descr="Рис. 13: Настройка коммутатора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5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коммутатора</w:t>
      </w:r>
    </w:p>
    <w:bookmarkEnd w:id="72"/>
    <w:p>
      <w:pPr>
        <w:pStyle w:val="Compact"/>
        <w:numPr>
          <w:ilvl w:val="0"/>
          <w:numId w:val="1009"/>
        </w:numPr>
      </w:pPr>
      <w:r>
        <w:t xml:space="preserve">Провожу первоначальную настройку маршрутизирующего коммутатора msk-hostel-aodikach-qw-1 (рис. 14).</w:t>
      </w:r>
    </w:p>
    <w:bookmarkStart w:id="76" w:name="fig:014"/>
    <w:p>
      <w:pPr>
        <w:pStyle w:val="CaptionedFigure"/>
      </w:pPr>
      <w:r>
        <w:drawing>
          <wp:inline>
            <wp:extent cx="3733800" cy="2384317"/>
            <wp:effectExtent b="0" l="0" r="0" t="0"/>
            <wp:docPr descr="Рис. 14: Настройка маршрутизирующего коммутатора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4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маршрутизирующего коммутатора</w:t>
      </w:r>
    </w:p>
    <w:bookmarkEnd w:id="76"/>
    <w:p>
      <w:pPr>
        <w:pStyle w:val="Compact"/>
        <w:numPr>
          <w:ilvl w:val="0"/>
          <w:numId w:val="1010"/>
        </w:numPr>
      </w:pPr>
      <w:r>
        <w:t xml:space="preserve">Провожу первоначальную настройку коммутатора msk-hostel-aodikach-sw-1 (рис. 15).</w:t>
      </w:r>
    </w:p>
    <w:bookmarkStart w:id="80" w:name="fig:015"/>
    <w:p>
      <w:pPr>
        <w:pStyle w:val="CaptionedFigure"/>
      </w:pPr>
      <w:r>
        <w:drawing>
          <wp:inline>
            <wp:extent cx="3733800" cy="3368536"/>
            <wp:effectExtent b="0" l="0" r="0" t="0"/>
            <wp:docPr descr="Рис. 15: Настройка коммутатора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8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коммутатора</w:t>
      </w:r>
    </w:p>
    <w:bookmarkEnd w:id="80"/>
    <w:p>
      <w:pPr>
        <w:pStyle w:val="Compact"/>
        <w:numPr>
          <w:ilvl w:val="0"/>
          <w:numId w:val="1011"/>
        </w:numPr>
      </w:pPr>
      <w:r>
        <w:t xml:space="preserve">Перехожу к подключению подсети города Сочи. Провожу первоначальную настройку коммутатора shi-sochi-aodikach-sw-1 (рис. 16).</w:t>
      </w:r>
    </w:p>
    <w:bookmarkStart w:id="84" w:name="fig:016"/>
    <w:p>
      <w:pPr>
        <w:pStyle w:val="CaptionedFigure"/>
      </w:pPr>
      <w:r>
        <w:drawing>
          <wp:inline>
            <wp:extent cx="3733800" cy="2819833"/>
            <wp:effectExtent b="0" l="0" r="0" t="0"/>
            <wp:docPr descr="Рис. 16: Настройка коммутатора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9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коммутатора</w:t>
      </w:r>
    </w:p>
    <w:bookmarkEnd w:id="84"/>
    <w:p>
      <w:pPr>
        <w:pStyle w:val="Compact"/>
        <w:numPr>
          <w:ilvl w:val="0"/>
          <w:numId w:val="1012"/>
        </w:numPr>
      </w:pPr>
      <w:r>
        <w:t xml:space="preserve">Провожу первоначальную настройку маршрутизатора sci-sochi-aodikach-gw-1 (рис. 17).</w:t>
      </w:r>
    </w:p>
    <w:bookmarkStart w:id="88" w:name="fig:017"/>
    <w:p>
      <w:pPr>
        <w:pStyle w:val="CaptionedFigure"/>
      </w:pPr>
      <w:r>
        <w:drawing>
          <wp:inline>
            <wp:extent cx="3733800" cy="3246300"/>
            <wp:effectExtent b="0" l="0" r="0" t="0"/>
            <wp:docPr descr="Рис. 17: Настройка маршрутизатора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маршрутизатора</w:t>
      </w:r>
    </w:p>
    <w:bookmarkEnd w:id="88"/>
    <w:bookmarkEnd w:id="89"/>
    <w:bookmarkStart w:id="9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Провела подготовительные работы по организации взаимодействия через сеть провайдера посредством статической маршрутизации локальной сети с сетью основного здания.</w:t>
      </w:r>
    </w:p>
    <w:bookmarkEnd w:id="90"/>
    <w:bookmarkStart w:id="91" w:name="ответ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вопросы</w:t>
      </w:r>
    </w:p>
    <w:p>
      <w:pPr>
        <w:pStyle w:val="Compact"/>
        <w:numPr>
          <w:ilvl w:val="0"/>
          <w:numId w:val="1013"/>
        </w:numPr>
      </w:pPr>
      <w:r>
        <w:t xml:space="preserve">В каких случаях следует использовать статическую маршрутизацию? Примеры.</w:t>
      </w:r>
    </w:p>
    <w:p>
      <w:pPr>
        <w:pStyle w:val="Compact"/>
        <w:numPr>
          <w:ilvl w:val="0"/>
          <w:numId w:val="1014"/>
        </w:numPr>
      </w:pPr>
      <w:r>
        <w:t xml:space="preserve">Малые сети с простой топологией (например, офис с 2–3 маршрутизаторами).</w:t>
      </w:r>
    </w:p>
    <w:p>
      <w:pPr>
        <w:pStyle w:val="Compact"/>
        <w:numPr>
          <w:ilvl w:val="0"/>
          <w:numId w:val="1014"/>
        </w:numPr>
      </w:pPr>
      <w:r>
        <w:t xml:space="preserve">Фиксированные маршруты, где пути не меняются (например, связь между филиалами по выделенным каналам).</w:t>
      </w:r>
    </w:p>
    <w:p>
      <w:pPr>
        <w:pStyle w:val="Compact"/>
        <w:numPr>
          <w:ilvl w:val="0"/>
          <w:numId w:val="1014"/>
        </w:numPr>
      </w:pPr>
      <w:r>
        <w:t xml:space="preserve">Резервные каналы (floating static route).</w:t>
      </w:r>
    </w:p>
    <w:p>
      <w:pPr>
        <w:pStyle w:val="Compact"/>
        <w:numPr>
          <w:ilvl w:val="0"/>
          <w:numId w:val="1014"/>
        </w:numPr>
      </w:pPr>
      <w:r>
        <w:t xml:space="preserve">Контроль трафика (например, принудительное направление трафика через фаервол).</w:t>
      </w:r>
      <w:r>
        <w:t xml:space="preserve"> </w:t>
      </w:r>
      <w:r>
        <w:t xml:space="preserve">Примеры:</w:t>
      </w:r>
    </w:p>
    <w:p>
      <w:pPr>
        <w:pStyle w:val="FirstParagraph"/>
      </w:pPr>
      <w:r>
        <w:t xml:space="preserve">Маршрут между головным офисом и складом.</w:t>
      </w:r>
      <w:r>
        <w:t xml:space="preserve"> </w:t>
      </w:r>
      <w:r>
        <w:t xml:space="preserve">Настройка шлюза по умолчанию (ip route 0.0.0.0 0.0.0.0 192.168.1.1).</w:t>
      </w:r>
    </w:p>
    <w:p>
      <w:pPr>
        <w:pStyle w:val="Compact"/>
        <w:numPr>
          <w:ilvl w:val="0"/>
          <w:numId w:val="1015"/>
        </w:numPr>
      </w:pPr>
      <w:r>
        <w:t xml:space="preserve">Основные принципы статической маршрутизации между VLANs</w:t>
      </w:r>
    </w:p>
    <w:p>
      <w:pPr>
        <w:pStyle w:val="Compact"/>
        <w:numPr>
          <w:ilvl w:val="0"/>
          <w:numId w:val="1016"/>
        </w:numPr>
      </w:pPr>
      <w:r>
        <w:t xml:space="preserve">Используется маршрутизатор (или L3-коммутатор) с настроенными SVI (Switch Virtual Interface) для каждого VLAN.</w:t>
      </w:r>
    </w:p>
    <w:p>
      <w:pPr>
        <w:pStyle w:val="Compact"/>
        <w:numPr>
          <w:ilvl w:val="0"/>
          <w:numId w:val="1016"/>
        </w:numPr>
      </w:pPr>
      <w:r>
        <w:t xml:space="preserve">Статические маршруты прописываются вручную на каждом узле маршрутизации.</w:t>
      </w:r>
    </w:p>
    <w:p>
      <w:pPr>
        <w:pStyle w:val="Compact"/>
        <w:numPr>
          <w:ilvl w:val="0"/>
          <w:numId w:val="1016"/>
        </w:numPr>
      </w:pPr>
      <w:r>
        <w:t xml:space="preserve">Требуется явное указание подсетей VLAN и шлюзов.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bash</w:t>
      </w:r>
      <w:r>
        <w:t xml:space="preserve"> </w:t>
      </w:r>
      <w:r>
        <w:t xml:space="preserve">ip route 192.168.10.0 255.255.255.0 192.168.1.1 # VLAN 10 → шлюз 192.168.1.1</w:t>
      </w:r>
      <w:r>
        <w:t xml:space="preserve"> </w:t>
      </w:r>
      <w:r>
        <w:t xml:space="preserve">ip route 192.168.20.0 255.255.255.0 192.168.1.1 # VLAN 20 → тот же шлюз</w:t>
      </w:r>
    </w:p>
    <w:p>
      <w:pPr>
        <w:pStyle w:val="Compact"/>
        <w:numPr>
          <w:ilvl w:val="0"/>
          <w:numId w:val="1016"/>
        </w:numPr>
      </w:pPr>
      <w:r>
        <w:t xml:space="preserve">Альтернатива: Router-on-a-Stick (подключение через сабинтерфейсы, например, Gi0/0.10, Gi0/0.20).</w:t>
      </w:r>
    </w:p>
    <w:bookmarkEnd w:id="91"/>
    <w:bookmarkStart w:id="93" w:name="список-литературы"/>
    <w:p>
      <w:pPr>
        <w:pStyle w:val="Heading1"/>
      </w:pPr>
      <w:r>
        <w:t xml:space="preserve">Список литературы</w:t>
      </w:r>
    </w:p>
    <w:bookmarkStart w:id="92" w:name="refs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Дикач Анна Олеговна НПИбд-01-22</dc:creator>
  <dc:language>ru-RU</dc:language>
  <cp:keywords/>
  <dcterms:created xsi:type="dcterms:W3CDTF">2025-05-08T14:35:12Z</dcterms:created>
  <dcterms:modified xsi:type="dcterms:W3CDTF">2025-05-08T14:35:12Z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Админимстрирование локальных сетей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