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Админимстрирование локальных сетей</w:t>
      </w:r>
    </w:p>
    <w:p>
      <w:pPr>
        <w:pStyle w:val="Author"/>
      </w:pPr>
      <w:r>
        <w:t xml:space="preserve">Дикач Анна Олеговна 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физической рабочей областью Packet Tracer, а также учесть физические параметры сети.</w:t>
      </w:r>
    </w:p>
    <w:bookmarkEnd w:id="20"/>
    <w:bookmarkStart w:id="8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Открываю файл лабораторной работы №6 и перехожу в физическую рабочую часть. Присваиваю городу название Moscow. Создаю новую улицу и меняю названия по умолчанию на Donskaya и Pavlovskaya (рис. 1) (рис. 2) (рис. 3).</w:t>
      </w:r>
    </w:p>
    <w:bookmarkStart w:id="24" w:name="fig:001"/>
    <w:p>
      <w:pPr>
        <w:pStyle w:val="CaptionedFigure"/>
      </w:pPr>
      <w:r>
        <w:drawing>
          <wp:inline>
            <wp:extent cx="3733800" cy="2324185"/>
            <wp:effectExtent b="0" l="0" r="0" t="0"/>
            <wp:docPr descr="Рис. 1: Город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4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Город</w:t>
      </w:r>
    </w:p>
    <w:bookmarkEnd w:id="24"/>
    <w:bookmarkStart w:id="28" w:name="fig:002"/>
    <w:p>
      <w:pPr>
        <w:pStyle w:val="CaptionedFigure"/>
      </w:pPr>
      <w:r>
        <w:drawing>
          <wp:inline>
            <wp:extent cx="3733800" cy="2512557"/>
            <wp:effectExtent b="0" l="0" r="0" t="0"/>
            <wp:docPr descr="Рис. 2: Улиц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2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Улица</w:t>
      </w:r>
    </w:p>
    <w:bookmarkEnd w:id="28"/>
    <w:bookmarkStart w:id="32" w:name="fig:003"/>
    <w:p>
      <w:pPr>
        <w:pStyle w:val="CaptionedFigure"/>
      </w:pPr>
      <w:r>
        <w:drawing>
          <wp:inline>
            <wp:extent cx="2263619" cy="1573023"/>
            <wp:effectExtent b="0" l="0" r="0" t="0"/>
            <wp:docPr descr="Рис. 3: Улиц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619" cy="1573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Улица</w:t>
      </w:r>
    </w:p>
    <w:bookmarkEnd w:id="32"/>
    <w:p>
      <w:pPr>
        <w:pStyle w:val="Compact"/>
        <w:numPr>
          <w:ilvl w:val="0"/>
          <w:numId w:val="1002"/>
        </w:numPr>
      </w:pPr>
      <w:r>
        <w:t xml:space="preserve">Перехожу в редактирование серверной части и переношу все устройства с припиской Pavlovskaya на одноимённую улицу (рис. 4) (рис. 5).</w:t>
      </w:r>
    </w:p>
    <w:bookmarkStart w:id="36" w:name="fig:004"/>
    <w:p>
      <w:pPr>
        <w:pStyle w:val="CaptionedFigure"/>
      </w:pPr>
      <w:r>
        <w:drawing>
          <wp:inline>
            <wp:extent cx="3593655" cy="3938953"/>
            <wp:effectExtent b="0" l="0" r="0" t="0"/>
            <wp:docPr descr="Рис. 4: Устройства на улице Donskaya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655" cy="3938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Устройства на улице Donskaya</w:t>
      </w:r>
    </w:p>
    <w:bookmarkEnd w:id="36"/>
    <w:bookmarkStart w:id="40" w:name="fig:005"/>
    <w:p>
      <w:pPr>
        <w:pStyle w:val="CaptionedFigure"/>
      </w:pPr>
      <w:r>
        <w:drawing>
          <wp:inline>
            <wp:extent cx="3389034" cy="3759910"/>
            <wp:effectExtent b="0" l="0" r="0" t="0"/>
            <wp:docPr descr="Рис. 5: Устройства на улице Pavlovskaya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034" cy="3759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Устройства на улице Pavlovskaya</w:t>
      </w:r>
    </w:p>
    <w:bookmarkEnd w:id="40"/>
    <w:p>
      <w:pPr>
        <w:pStyle w:val="Compact"/>
        <w:numPr>
          <w:ilvl w:val="0"/>
          <w:numId w:val="1003"/>
        </w:numPr>
      </w:pPr>
      <w:r>
        <w:t xml:space="preserve">Пингую устройства на другой улице и убеждаюсь в том что соединение сохранено (рис. 6).</w:t>
      </w:r>
    </w:p>
    <w:bookmarkStart w:id="44" w:name="fig:006"/>
    <w:p>
      <w:pPr>
        <w:pStyle w:val="CaptionedFigure"/>
      </w:pPr>
      <w:r>
        <w:drawing>
          <wp:inline>
            <wp:extent cx="3733800" cy="3261031"/>
            <wp:effectExtent b="0" l="0" r="0" t="0"/>
            <wp:docPr descr="Рис. 6: Пингование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1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Пингование</w:t>
      </w:r>
    </w:p>
    <w:bookmarkEnd w:id="44"/>
    <w:p>
      <w:pPr>
        <w:pStyle w:val="Compact"/>
        <w:numPr>
          <w:ilvl w:val="0"/>
          <w:numId w:val="1004"/>
        </w:numPr>
      </w:pPr>
      <w:r>
        <w:t xml:space="preserve">Активирую разрешение на учёт физических характеристик среды передачи (рис. 7).</w:t>
      </w:r>
    </w:p>
    <w:bookmarkStart w:id="48" w:name="fig:007"/>
    <w:p>
      <w:pPr>
        <w:pStyle w:val="CaptionedFigure"/>
      </w:pPr>
      <w:r>
        <w:drawing>
          <wp:inline>
            <wp:extent cx="3733800" cy="1802863"/>
            <wp:effectExtent b="0" l="0" r="0" t="0"/>
            <wp:docPr descr="Рис. 7: Активация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2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Активация</w:t>
      </w:r>
    </w:p>
    <w:bookmarkEnd w:id="48"/>
    <w:p>
      <w:pPr>
        <w:pStyle w:val="Compact"/>
        <w:numPr>
          <w:ilvl w:val="0"/>
          <w:numId w:val="1005"/>
        </w:numPr>
      </w:pPr>
      <w:r>
        <w:t xml:space="preserve">Переношу улицы подальше друг от друга в физической части приложения и заново пингую устройства. Теперь пинг не доходит (рис. 8) (рис. 9).</w:t>
      </w:r>
    </w:p>
    <w:bookmarkStart w:id="52" w:name="fig:008"/>
    <w:p>
      <w:pPr>
        <w:pStyle w:val="CaptionedFigure"/>
      </w:pPr>
      <w:r>
        <w:drawing>
          <wp:inline>
            <wp:extent cx="3733800" cy="2479828"/>
            <wp:effectExtent b="0" l="0" r="0" t="0"/>
            <wp:docPr descr="Рис. 8: Новое расположение улиц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9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Новое расположение улиц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867645"/>
            <wp:effectExtent b="0" l="0" r="0" t="0"/>
            <wp:docPr descr="Рис. 9: Неработоспособность соединения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7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Неработоспособность соединения</w:t>
      </w:r>
    </w:p>
    <w:bookmarkEnd w:id="56"/>
    <w:p>
      <w:pPr>
        <w:pStyle w:val="Compact"/>
        <w:numPr>
          <w:ilvl w:val="0"/>
          <w:numId w:val="1006"/>
        </w:numPr>
      </w:pPr>
      <w:r>
        <w:t xml:space="preserve">Удалаляю соединение между улицами и добавляю два повторителя. Заменяю имеющиеся модули на PT-REPEATER- NM-1FFE и PT-REPEATER-NM-1CFE для подключения оптоволокна и витой пары по технологии Fast Ethernet (рис. 10) (рис. 11).</w:t>
      </w:r>
    </w:p>
    <w:bookmarkStart w:id="60" w:name="fig:010"/>
    <w:p>
      <w:pPr>
        <w:pStyle w:val="CaptionedFigure"/>
      </w:pPr>
      <w:r>
        <w:drawing>
          <wp:inline>
            <wp:extent cx="3733800" cy="1328979"/>
            <wp:effectExtent b="0" l="0" r="0" t="0"/>
            <wp:docPr descr="Рис. 10: Настройка первого поаторителя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8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первого поаторителя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1322498"/>
            <wp:effectExtent b="0" l="0" r="0" t="0"/>
            <wp:docPr descr="Рис. 11: Настройка второго повторителя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2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второго повторителя</w:t>
      </w:r>
    </w:p>
    <w:bookmarkEnd w:id="64"/>
    <w:p>
      <w:pPr>
        <w:pStyle w:val="Compact"/>
        <w:numPr>
          <w:ilvl w:val="0"/>
          <w:numId w:val="1007"/>
        </w:numPr>
      </w:pPr>
      <w:r>
        <w:t xml:space="preserve">Переножу один из повторителей на территорию Pavlovskaya (рис. 12).</w:t>
      </w:r>
    </w:p>
    <w:bookmarkStart w:id="68" w:name="fig:012"/>
    <w:p>
      <w:pPr>
        <w:pStyle w:val="CaptionedFigure"/>
      </w:pPr>
      <w:r>
        <w:drawing>
          <wp:inline>
            <wp:extent cx="3248358" cy="5652654"/>
            <wp:effectExtent b="0" l="0" r="0" t="0"/>
            <wp:docPr descr="Рис. 12: Перенос повторителя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358" cy="5652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Перенос повторителя</w:t>
      </w:r>
    </w:p>
    <w:bookmarkEnd w:id="68"/>
    <w:p>
      <w:pPr>
        <w:pStyle w:val="Compact"/>
        <w:numPr>
          <w:ilvl w:val="0"/>
          <w:numId w:val="1008"/>
        </w:numPr>
      </w:pPr>
      <w:r>
        <w:t xml:space="preserve">Подключаю коммутатор msk-donskaya-sw-1 к msk-donskaya-mc-1 по ви- той паре, msk-donskaya-mc-1 и msk-pavlovskaya-mc-1 — по оптоволокну, msk-pavlovskaya-sw-1 к msk-pavlovskaya-mc-1 — по витой паре (рис. 13) (рис. 14).</w:t>
      </w:r>
    </w:p>
    <w:bookmarkStart w:id="72" w:name="fig:013"/>
    <w:p>
      <w:pPr>
        <w:pStyle w:val="CaptionedFigure"/>
      </w:pPr>
      <w:r>
        <w:drawing>
          <wp:inline>
            <wp:extent cx="3733800" cy="1974870"/>
            <wp:effectExtent b="0" l="0" r="0" t="0"/>
            <wp:docPr descr="Рис. 13: Итоговая топология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4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Итоговая топология</w:t>
      </w:r>
    </w:p>
    <w:bookmarkEnd w:id="72"/>
    <w:bookmarkStart w:id="76" w:name="fig:014"/>
    <w:p>
      <w:pPr>
        <w:pStyle w:val="CaptionedFigure"/>
      </w:pPr>
      <w:r>
        <w:drawing>
          <wp:inline>
            <wp:extent cx="3733800" cy="2355709"/>
            <wp:effectExtent b="0" l="0" r="0" t="0"/>
            <wp:docPr descr="Рис. 14: Физический вид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5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Физический вид</w:t>
      </w:r>
    </w:p>
    <w:bookmarkEnd w:id="76"/>
    <w:p>
      <w:pPr>
        <w:pStyle w:val="Compact"/>
        <w:numPr>
          <w:ilvl w:val="0"/>
          <w:numId w:val="1009"/>
        </w:numPr>
      </w:pPr>
      <w:r>
        <w:t xml:space="preserve">Проверяю работоспособность соединения (рис. 15).</w:t>
      </w:r>
    </w:p>
    <w:bookmarkStart w:id="80" w:name="fig:015"/>
    <w:p>
      <w:pPr>
        <w:pStyle w:val="CaptionedFigure"/>
      </w:pPr>
      <w:r>
        <w:drawing>
          <wp:inline>
            <wp:extent cx="3733800" cy="1887082"/>
            <wp:effectExtent b="0" l="0" r="0" t="0"/>
            <wp:docPr descr="Рис. 15: проверка работоспособности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7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проверка работоспособности</w:t>
      </w:r>
    </w:p>
    <w:bookmarkEnd w:id="80"/>
    <w:bookmarkEnd w:id="81"/>
    <w:bookmarkStart w:id="82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Получила навыки работы с физической рабочей областью Packet Tracer, а также учла физические параметры сети</w:t>
      </w:r>
    </w:p>
    <w:bookmarkEnd w:id="82"/>
    <w:bookmarkStart w:id="83" w:name="ответ-на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 на вопросы</w:t>
      </w:r>
    </w:p>
    <w:p>
      <w:pPr>
        <w:numPr>
          <w:ilvl w:val="0"/>
          <w:numId w:val="1010"/>
        </w:numPr>
      </w:pPr>
      <w:r>
        <w:t xml:space="preserve">Среды передачи данных: витая пара, коаксиальный кабель, оптоволокно, радиоволны. Характеристики: ширина канала, дальность передачи, устойчивость к помехам, стоимость, легкость установки.</w:t>
      </w:r>
    </w:p>
    <w:p>
      <w:pPr>
        <w:numPr>
          <w:ilvl w:val="0"/>
          <w:numId w:val="1010"/>
        </w:numPr>
      </w:pPr>
      <w:r>
        <w:t xml:space="preserve">Категории витой пары:</w:t>
      </w:r>
    </w:p>
    <w:p>
      <w:pPr>
        <w:numPr>
          <w:ilvl w:val="0"/>
          <w:numId w:val="1000"/>
        </w:numPr>
      </w:pPr>
      <w:r>
        <w:t xml:space="preserve">• Cat 5e — до 1 Гбит/с на 100 м.</w:t>
      </w:r>
    </w:p>
    <w:p>
      <w:pPr>
        <w:numPr>
          <w:ilvl w:val="0"/>
          <w:numId w:val="1000"/>
        </w:numPr>
      </w:pPr>
      <w:r>
        <w:t xml:space="preserve">• Cat 6 — до 10 Гбит/с на 55 м.</w:t>
      </w:r>
    </w:p>
    <w:p>
      <w:pPr>
        <w:numPr>
          <w:ilvl w:val="0"/>
          <w:numId w:val="1000"/>
        </w:numPr>
      </w:pPr>
      <w:r>
        <w:t xml:space="preserve">• Cat 6a — до 10 Гбит/с на 100 м.</w:t>
      </w:r>
    </w:p>
    <w:p>
      <w:pPr>
        <w:numPr>
          <w:ilvl w:val="0"/>
          <w:numId w:val="1000"/>
        </w:numPr>
      </w:pPr>
      <w:r>
        <w:t xml:space="preserve">• Cat 7 — до 10 Гбит/с на 100 м, экранированная.</w:t>
      </w:r>
    </w:p>
    <w:p>
      <w:pPr>
        <w:numPr>
          <w:ilvl w:val="0"/>
          <w:numId w:val="1000"/>
        </w:numPr>
      </w:pPr>
      <w:r>
        <w:t xml:space="preserve">• Cat 8 — до 25/40 Гбит/с на 30 м.</w:t>
      </w:r>
      <w:r>
        <w:t xml:space="preserve"> </w:t>
      </w:r>
      <w:r>
        <w:t xml:space="preserve">Отличия: максимальная скорость и дальность передачи. Используются в зависимости от требований к скорости и расстоянию.</w:t>
      </w:r>
    </w:p>
    <w:p>
      <w:pPr>
        <w:numPr>
          <w:ilvl w:val="0"/>
          <w:numId w:val="1010"/>
        </w:numPr>
      </w:pPr>
      <w:r>
        <w:t xml:space="preserve">Одномодовое оптоволокно — передает свет по одному пути, используется для больших расстояний (до 100 км). Многомодовое оптоволокно — передает свет по нескольким путям, подходит для коротких расстояний (до 2 км). Выбор зависит от расстояния и необходимой пропускной способности.</w:t>
      </w:r>
    </w:p>
    <w:p>
      <w:pPr>
        <w:numPr>
          <w:ilvl w:val="0"/>
          <w:numId w:val="1010"/>
        </w:numPr>
      </w:pPr>
      <w:r>
        <w:t xml:space="preserve">Разъемы на патчах оптоволокна: LC, SC, ST, MTP/MPO. Отличия: размер, способ подключения и количество волокон. LC — компактный, SC — простой в использовании, ST — круглый с защелкой, MTP/MPO — многоволоконный разъем для высокой плотности.</w:t>
      </w:r>
    </w:p>
    <w:bookmarkEnd w:id="83"/>
    <w:bookmarkStart w:id="85" w:name="список-литературы"/>
    <w:p>
      <w:pPr>
        <w:pStyle w:val="Heading1"/>
      </w:pPr>
      <w:r>
        <w:t xml:space="preserve">Список литературы</w:t>
      </w:r>
    </w:p>
    <w:bookmarkStart w:id="84" w:name="refs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Дикач Анна Олеговна НПИбд-01-22</dc:creator>
  <dc:language>ru-RU</dc:language>
  <cp:keywords/>
  <dcterms:created xsi:type="dcterms:W3CDTF">2025-03-27T12:26:03Z</dcterms:created>
  <dcterms:modified xsi:type="dcterms:W3CDTF">2025-03-27T12:26:03Z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Админимстрирование локальных сетей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