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настройке доступа локальной сети к внешней сети посредством NAT.</w:t>
      </w:r>
    </w:p>
    <w:bookmarkEnd w:id="20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Провожу первоначальную натсроцку маршрутизатора msk-provider-aodikach-gw-1 и коммутатора msk-provider-aodikach-sw-1 (рис. 1) (рис. 2).</w:t>
      </w:r>
    </w:p>
    <w:bookmarkStart w:id="24" w:name="fig:001"/>
    <w:p>
      <w:pPr>
        <w:pStyle w:val="CaptionedFigure"/>
      </w:pPr>
      <w:r>
        <w:drawing>
          <wp:inline>
            <wp:extent cx="3733800" cy="3246316"/>
            <wp:effectExtent b="0" l="0" r="0" t="0"/>
            <wp:docPr descr="Рис. 1: Настройка маршрутизато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маршрутизатора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3173986"/>
            <wp:effectExtent b="0" l="0" r="0" t="0"/>
            <wp:docPr descr="Рис. 2: Настройка коммутатор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коммутатора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Провожу настроцку интерфейсов маршрутизатора и коммутатора по примеру из лабораторной работы (рис. 3) (рис. 4).</w:t>
      </w:r>
    </w:p>
    <w:bookmarkStart w:id="32" w:name="fig:003"/>
    <w:p>
      <w:pPr>
        <w:pStyle w:val="CaptionedFigure"/>
      </w:pPr>
      <w:r>
        <w:drawing>
          <wp:inline>
            <wp:extent cx="3733800" cy="2909366"/>
            <wp:effectExtent b="0" l="0" r="0" t="0"/>
            <wp:docPr descr="Рис. 3: Настройка машрутизато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машрутизатора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939876"/>
            <wp:effectExtent b="0" l="0" r="0" t="0"/>
            <wp:docPr descr="Рис. 4: Настройка коммутатор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коммутатора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Провожу настройку пула адресов и доступа для NAT на маршрутизаторе msk-donskaya-aodikach-gw-1. Также выполняю настройку сетей для дисплейных классов, кафедр, администрации и для компьютера администратора (рис. 5)(рис. 6).</w:t>
      </w:r>
    </w:p>
    <w:bookmarkStart w:id="40" w:name="fig:005"/>
    <w:p>
      <w:pPr>
        <w:pStyle w:val="CaptionedFigure"/>
      </w:pPr>
      <w:r>
        <w:drawing>
          <wp:inline>
            <wp:extent cx="3733800" cy="1824691"/>
            <wp:effectExtent b="0" l="0" r="0" t="0"/>
            <wp:docPr descr="Рис. 5: Работа в терминале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 в терминале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949712"/>
            <wp:effectExtent b="0" l="0" r="0" t="0"/>
            <wp:docPr descr="Рис. 6: Работа в терминале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в терминале</w:t>
      </w:r>
    </w:p>
    <w:bookmarkEnd w:id="44"/>
    <w:p>
      <w:pPr>
        <w:pStyle w:val="Compact"/>
        <w:numPr>
          <w:ilvl w:val="0"/>
          <w:numId w:val="1004"/>
        </w:numPr>
      </w:pPr>
      <w:r>
        <w:t xml:space="preserve">Далее натсраиваю Port Address Translation и интерфейсы для NAT. После настраиваю доступ из Интернета для www-севрера, файлового сервера, почтового сервара и доступ по RDP(рис. 7).</w:t>
      </w:r>
    </w:p>
    <w:bookmarkStart w:id="48" w:name="fig:007"/>
    <w:p>
      <w:pPr>
        <w:pStyle w:val="CaptionedFigure"/>
      </w:pPr>
      <w:r>
        <w:drawing>
          <wp:inline>
            <wp:extent cx="3733800" cy="1792995"/>
            <wp:effectExtent b="0" l="0" r="0" t="0"/>
            <wp:docPr descr="Рис. 7: Работа в терминале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Работа в терминале</w:t>
      </w:r>
    </w:p>
    <w:bookmarkEnd w:id="48"/>
    <w:p>
      <w:pPr>
        <w:pStyle w:val="Compact"/>
        <w:numPr>
          <w:ilvl w:val="0"/>
          <w:numId w:val="1005"/>
        </w:numPr>
      </w:pPr>
      <w:r>
        <w:t xml:space="preserve">Проверяю корректность с помощью пингования (рис. 8).</w:t>
      </w:r>
    </w:p>
    <w:bookmarkStart w:id="52" w:name="fig:008"/>
    <w:p>
      <w:pPr>
        <w:pStyle w:val="CaptionedFigure"/>
      </w:pPr>
      <w:r>
        <w:drawing>
          <wp:inline>
            <wp:extent cx="3733800" cy="2530885"/>
            <wp:effectExtent b="0" l="0" r="0" t="0"/>
            <wp:docPr descr="Рис. 8: Проверка корректности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корректности</w:t>
      </w:r>
    </w:p>
    <w:bookmarkEnd w:id="52"/>
    <w:bookmarkEnd w:id="53"/>
    <w:bookmarkStart w:id="5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Приобрела практические навыки по настройке доступа локальной сетик внешней сети посредством NAT.</w:t>
      </w:r>
    </w:p>
    <w:bookmarkEnd w:id="54"/>
    <w:bookmarkStart w:id="55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06"/>
        </w:numPr>
      </w:pPr>
      <w:r>
        <w:t xml:space="preserve">Принцип работы NAT: Преобразует частные IP-адреса в публичные для доступа в Интернет, позволяя нескольким устройствам использовать один внешний адрес.</w:t>
      </w:r>
    </w:p>
    <w:p>
      <w:pPr>
        <w:numPr>
          <w:ilvl w:val="0"/>
          <w:numId w:val="1006"/>
        </w:numPr>
      </w:pPr>
      <w:r>
        <w:t xml:space="preserve">Настройка NAT: Настраивается на маршрутизаторе, определяются внутренний и внешний интерфейсы, правила преобразования адресов и включается NAT.</w:t>
      </w:r>
    </w:p>
    <w:p>
      <w:pPr>
        <w:numPr>
          <w:ilvl w:val="0"/>
          <w:numId w:val="1006"/>
        </w:numPr>
      </w:pPr>
      <w:r>
        <w:t xml:space="preserve">Cisco IOS NAT и субинтерфейсы: Да, поддерживается настройка NAT на субинтерфейсах для разных VLAN или сетей.</w:t>
      </w:r>
    </w:p>
    <w:p>
      <w:pPr>
        <w:numPr>
          <w:ilvl w:val="0"/>
          <w:numId w:val="1006"/>
        </w:numPr>
      </w:pPr>
      <w:r>
        <w:t xml:space="preserve">Пулы IP NAT: Набор публичных IP-адресов для динамического назначения внутренним устройствам при использовании динамического NAT.</w:t>
      </w:r>
    </w:p>
    <w:p>
      <w:pPr>
        <w:numPr>
          <w:ilvl w:val="0"/>
          <w:numId w:val="1006"/>
        </w:numPr>
      </w:pPr>
      <w:r>
        <w:t xml:space="preserve">Статические преобразования NAT: Фиксированное сопоставление одного внутреннего IP с публичным, используется для постоянного доступа к внутренним ресурсам из внешней сети.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Дикач Анна Олеговна НПИбд-01-22</dc:creator>
  <dc:language>ru-RU</dc:language>
  <cp:keywords/>
  <dcterms:created xsi:type="dcterms:W3CDTF">2025-04-14T15:20:22Z</dcterms:created>
  <dcterms:modified xsi:type="dcterms:W3CDTF">2025-04-14T15:20:22Z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