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Definición del problema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principal obstáculo para la implementación efectiva de estrategias de secuestro de carbono en el suelo radica en la falta de herramientas precisas y accesibles para el monitoreo de las emisiones de CO₂. Los métodos tradicionales, a menudo costosos, lentos y que requieren el muestreo físico del suelo, no permiten un monitoreo continuo a gran escala. Los sistemas actuales, como las cámaras de captura de carbono o la recirculación de aire, si bien son efectivos en condiciones controladas, no proporcionan datos detallados en tiempo real sobre la variabilidad espacial del carbono en el suelo. Además, su alto costo limita su accesibilidad a gran escala (Hassan et al., 2023).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problema se debe a que la falta de un monitoreo adecuado impide la cuantificación precisa del carbono almacenado en los suelos, lo que dificulta la adopción de políticas efectivas de mitigación del cambio climático. Ante la creciente amenaza del cambio climático para la humanidad, es fundamental contar con tecnologías que permitan mediciones precisas en tiempo real para planificar acciones tanto a nivel global como local. Las tecnologías emergentes, como los sensores de IoT y la realidad mixta, ofrecen un gran potencial para superar las limitaciones de los métodos tradicionales, proporcionando datos más accesibles y precisos que podrían transformar la forma en que gestionamos los recursos naturales y combatimos el cambio climático (Lima et al., 2025; Sobhy y Anandhi,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b w:val="1"/>
          <w:bCs w:val="1"/>
          <w:sz w:val="26"/>
          <w:szCs w:val="26"/>
        </w:rPr>
      </w:pPr>
      <w:r w:rsidDel="00000000" w:rsidR="00000000" w:rsidRPr="00000000">
        <w:rPr>
          <w:b w:val="1"/>
          <w:bCs w:val="1"/>
          <w:sz w:val="26"/>
          <w:szCs w:val="26"/>
          <w:rtl w:val="0"/>
        </w:rPr>
        <w:t xml:space="preserve">Referencias</w:t>
      </w:r>
    </w:p>
    <w:p w:rsidR="00000000" w:rsidDel="00000000" w:rsidP="00000000" w:rsidRDefault="00000000" w:rsidRPr="00000000" w14:paraId="00000022">
      <w:pPr>
        <w:jc w:val="center"/>
        <w:rPr>
          <w:b w:val="1"/>
          <w:bCs w:val="1"/>
          <w:sz w:val="26"/>
          <w:szCs w:val="26"/>
        </w:rPr>
      </w:pPr>
      <w:r w:rsidDel="00000000" w:rsidR="00000000" w:rsidRPr="00000000">
        <w:rPr>
          <w:rtl w:val="0"/>
        </w:rPr>
      </w:r>
    </w:p>
    <w:p w:rsidR="00000000" w:rsidDel="00000000" w:rsidP="00000000" w:rsidRDefault="00000000" w:rsidRPr="00000000" w14:paraId="00000023">
      <w:pPr>
        <w:spacing w:line="360" w:lineRule="auto"/>
        <w:rPr>
          <w:color w:val="1155cc"/>
          <w:u w:val="single"/>
        </w:rPr>
      </w:pPr>
      <w:r w:rsidDel="00000000" w:rsidR="00000000" w:rsidRPr="00000000">
        <w:rPr>
          <w:rtl w:val="0"/>
        </w:rPr>
        <w:t xml:space="preserve">Hassan, S., Mushinski, R. M., Amede, T., Bending, G. D., &amp; Covington, J. A. (2023). Integrated probe system for measuring soil carbon dioxide concentrations. </w:t>
      </w:r>
      <w:r w:rsidDel="00000000" w:rsidR="00000000" w:rsidRPr="00000000">
        <w:rPr>
          <w:i w:val="1"/>
          <w:iCs w:val="1"/>
          <w:rtl w:val="0"/>
        </w:rPr>
        <w:t xml:space="preserve">Sensors, 23</w:t>
      </w:r>
      <w:r w:rsidDel="00000000" w:rsidR="00000000" w:rsidRPr="00000000">
        <w:rPr>
          <w:rtl w:val="0"/>
        </w:rPr>
        <w:t xml:space="preserve">(5), 2580.</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https://doi.org/10.3390/s23052580</w:t>
        </w:r>
      </w:hyperlink>
      <w:r w:rsidDel="00000000" w:rsidR="00000000" w:rsidRPr="00000000">
        <w:rPr>
          <w:rtl w:val="0"/>
        </w:rPr>
      </w:r>
    </w:p>
    <w:p w:rsidR="00000000" w:rsidDel="00000000" w:rsidP="00000000" w:rsidRDefault="00000000" w:rsidRPr="00000000" w14:paraId="00000024">
      <w:pPr>
        <w:spacing w:line="360" w:lineRule="auto"/>
        <w:rPr>
          <w:color w:val="1155cc"/>
          <w:u w:val="single"/>
        </w:rPr>
      </w:pPr>
      <w:r w:rsidDel="00000000" w:rsidR="00000000" w:rsidRPr="00000000">
        <w:rPr>
          <w:rtl w:val="0"/>
        </w:rPr>
        <w:t xml:space="preserve">Lima, A. A. J., Lopes, J. C., Lopes, R. P., de Figueiredo, T., Vidal-Vázquez, E., &amp; Hernández, Z. (2025). Soil organic carbon assessment using remote-sensing data and machine learning: A systematic literature review. </w:t>
      </w:r>
      <w:r w:rsidDel="00000000" w:rsidR="00000000" w:rsidRPr="00000000">
        <w:rPr>
          <w:i w:val="1"/>
          <w:iCs w:val="1"/>
          <w:rtl w:val="0"/>
        </w:rPr>
        <w:t xml:space="preserve">Remote Sensing, 17</w:t>
      </w:r>
      <w:r w:rsidDel="00000000" w:rsidR="00000000" w:rsidRPr="00000000">
        <w:rPr>
          <w:rtl w:val="0"/>
        </w:rPr>
        <w:t xml:space="preserve">(5), 882.</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https://doi.org/10.3390/rs17050882</w:t>
        </w:r>
      </w:hyperlink>
      <w:r w:rsidDel="00000000" w:rsidR="00000000" w:rsidRPr="00000000">
        <w:rPr>
          <w:rtl w:val="0"/>
        </w:rPr>
      </w:r>
    </w:p>
    <w:p w:rsidR="00000000" w:rsidDel="00000000" w:rsidP="00000000" w:rsidRDefault="00000000" w:rsidRPr="00000000" w14:paraId="00000025">
      <w:pPr>
        <w:spacing w:line="360" w:lineRule="auto"/>
        <w:rPr>
          <w:color w:val="1155cc"/>
          <w:u w:val="single"/>
        </w:rPr>
      </w:pPr>
      <w:r w:rsidDel="00000000" w:rsidR="00000000" w:rsidRPr="00000000">
        <w:rPr>
          <w:rtl w:val="0"/>
        </w:rPr>
        <w:t xml:space="preserve">Sobhy, D. M., &amp; Anandhi, A. (2025). Soil nutrient monitoring technologies for sustainable agriculture: A systematic review. </w:t>
      </w:r>
      <w:r w:rsidDel="00000000" w:rsidR="00000000" w:rsidRPr="00000000">
        <w:rPr>
          <w:i w:val="1"/>
          <w:iCs w:val="1"/>
          <w:rtl w:val="0"/>
        </w:rPr>
        <w:t xml:space="preserve">Sustainability, 17</w:t>
      </w:r>
      <w:r w:rsidDel="00000000" w:rsidR="00000000" w:rsidRPr="00000000">
        <w:rPr>
          <w:rtl w:val="0"/>
        </w:rPr>
        <w:t xml:space="preserve">(8), 8477.</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https://doi.org/10.3390/su17188477</w:t>
        </w:r>
      </w:hyperlink>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3390/su17188477" TargetMode="External"/><Relationship Id="rId10" Type="http://schemas.openxmlformats.org/officeDocument/2006/relationships/hyperlink" Target="https://doi.org/10.3390/su17188477" TargetMode="External"/><Relationship Id="rId9" Type="http://schemas.openxmlformats.org/officeDocument/2006/relationships/hyperlink" Target="https://doi.org/10.3390/rs17050882" TargetMode="External"/><Relationship Id="rId5" Type="http://schemas.openxmlformats.org/officeDocument/2006/relationships/styles" Target="styles.xml"/><Relationship Id="rId6" Type="http://schemas.openxmlformats.org/officeDocument/2006/relationships/hyperlink" Target="https://doi.org/10.3390/s23052580" TargetMode="External"/><Relationship Id="rId7" Type="http://schemas.openxmlformats.org/officeDocument/2006/relationships/hyperlink" Target="https://doi.org/10.3390/s23052580" TargetMode="External"/><Relationship Id="rId8" Type="http://schemas.openxmlformats.org/officeDocument/2006/relationships/hyperlink" Target="https://doi.org/10.3390/rs170508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