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Homework #2 – Requirements</w:t>
      </w:r>
    </w:p>
    <w:p>
      <w:pPr>
        <w:spacing w:after="160"/>
      </w:pPr>
      <w:r>
        <w:rPr>
          <w:i/>
          <w:iCs/>
          <w:sz w:val="20"/>
          <w:szCs w:val="20"/>
        </w:rPr>
        <w:t xml:space="preserve">CYBR 6780 – Fall 2026 – Due: September 2, 2026</w:t>
      </w:r>
    </w:p>
    <w:p>
      <w:pPr>
        <w:spacing w:after="160"/>
      </w:pPr>
      <w:r>
        <w:rPr>
          <w:b/>
          <w:bCs/>
        </w:rPr>
        <w:t xml:space="preserve">Student Name: </w:t>
      </w:r>
      <w:r>
        <w:t xml:space="preserve">Chell LaRue</w:t>
      </w:r>
    </w:p>
    <w:p>
      <w:pPr>
        <w:pStyle w:val="Heading1"/>
        <w:spacing w:after="120"/>
      </w:pPr>
      <w:r>
        <w:t xml:space="preserve">PART 1 – Security Requirements</w:t>
      </w:r>
    </w:p>
    <w:p>
      <w:pPr>
        <w:spacing w:after="160"/>
      </w:pPr>
      <w:r>
        <w:t xml:space="preserve">Application chosen: Gmail (a widely used web-based email application). The table below lists six security requirements I am certain exist for this application, the requirement type from Figure 2.2 (p. 99), and a link to Google's own support documentation confirming the underlying behavior (quoted where noted).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2016"/>
        <w:gridCol w:w="2822"/>
      </w:tblGrid>
      <w:tr>
        <w:trPr>
          <w:tblHeader/>
        </w:trPr>
        <w:tc>
          <w:tcPr>
            <w:tcW w:type="dxa" w:w="5242"/>
            <w:shd w:fill="1F4E79" w:color="auto" w:val="clear"/>
            <w:tcMar>
              <w:top w:type="dxa" w:w="100"/>
              <w:left w:type="dxa" w:w="120"/>
              <w:bottom w:type="dxa" w:w="100"/>
              <w:right w:type="dxa" w:w="120"/>
            </w:tcMar>
          </w:tcPr>
          <w:p>
            <w:r>
              <w:rPr>
                <w:b/>
                <w:bCs/>
                <w:color w:val="FFFFFF"/>
              </w:rPr>
              <w:t xml:space="preserve">Description of requirement</w:t>
            </w:r>
          </w:p>
        </w:tc>
        <w:tc>
          <w:tcPr>
            <w:tcW w:type="dxa" w:w="2016"/>
            <w:shd w:fill="1F4E79" w:color="auto" w:val="clear"/>
            <w:tcMar>
              <w:top w:type="dxa" w:w="100"/>
              <w:left w:type="dxa" w:w="120"/>
              <w:bottom w:type="dxa" w:w="100"/>
              <w:right w:type="dxa" w:w="120"/>
            </w:tcMar>
          </w:tcPr>
          <w:p>
            <w:r>
              <w:rPr>
                <w:b/>
                <w:bCs/>
                <w:color w:val="FFFFFF"/>
              </w:rPr>
              <w:t xml:space="preserve">Type (from Figure 2.2, p. 99)</w:t>
            </w:r>
          </w:p>
        </w:tc>
        <w:tc>
          <w:tcPr>
            <w:tcW w:type="dxa" w:w="2822"/>
            <w:shd w:fill="1F4E79" w:color="auto" w:val="clear"/>
            <w:tcMar>
              <w:top w:type="dxa" w:w="100"/>
              <w:left w:type="dxa" w:w="120"/>
              <w:bottom w:type="dxa" w:w="100"/>
              <w:right w:type="dxa" w:w="120"/>
            </w:tcMar>
          </w:tcPr>
          <w:p>
            <w:r>
              <w:rPr>
                <w:b/>
                <w:bCs/>
                <w:color w:val="FFFFFF"/>
              </w:rPr>
              <w:t xml:space="preserve">Source</w:t>
            </w:r>
          </w:p>
        </w:tc>
      </w:tr>
      <w:tr>
        <w:tc>
          <w:tcPr>
            <w:tcW w:type="dxa" w:w="5242"/>
            <w:tcMar>
              <w:top w:type="dxa" w:w="100"/>
              <w:left w:type="dxa" w:w="120"/>
              <w:bottom w:type="dxa" w:w="100"/>
              <w:right w:type="dxa" w:w="120"/>
            </w:tcMar>
          </w:tcPr>
          <w:p>
            <w:r>
              <w:rPr>
                <w:b w:val="false"/>
                <w:bCs w:val="false"/>
                <w:color w:val="000000"/>
              </w:rPr>
              <w:t xml:space="preserve">Gmail encrypts messages in transit with TLS by default: "Gmail uses TLS by default to encrypt the connection when messages travel between email servers, which helps provide privacy and prevents eavesdropping or tampering with emails while in transit." This protects message contents from anyone intercepting the network traffic.</w:t>
            </w:r>
          </w:p>
        </w:tc>
        <w:tc>
          <w:tcPr>
            <w:tcW w:type="dxa" w:w="2016"/>
            <w:tcMar>
              <w:top w:type="dxa" w:w="100"/>
              <w:left w:type="dxa" w:w="120"/>
              <w:bottom w:type="dxa" w:w="100"/>
              <w:right w:type="dxa" w:w="120"/>
            </w:tcMar>
          </w:tcPr>
          <w:p>
            <w:r>
              <w:rPr>
                <w:b w:val="false"/>
                <w:bCs w:val="false"/>
                <w:color w:val="000000"/>
              </w:rPr>
              <w:t xml:space="preserve">Confidentiality</w:t>
            </w:r>
          </w:p>
        </w:tc>
        <w:tc>
          <w:tcPr>
            <w:tcW w:type="dxa" w:w="2822"/>
            <w:tcMar>
              <w:top w:type="dxa" w:w="100"/>
              <w:left w:type="dxa" w:w="120"/>
              <w:bottom w:type="dxa" w:w="100"/>
              <w:right w:type="dxa" w:w="120"/>
            </w:tcMar>
          </w:tcPr>
          <w:p>
            <w:hyperlink w:history="1" r:id="rIdhdrvvwweh_iuoy_lqitr8">
              <w:r>
                <w:rPr>
                  <w:rStyle w:val="Hyperlink"/>
                  <w:sz w:val="18"/>
                  <w:szCs w:val="18"/>
                </w:rPr>
                <w:t xml:space="preserve">Google: Learn how Gmail encrypts your emails</w:t>
              </w:r>
            </w:hyperlink>
          </w:p>
        </w:tc>
      </w:tr>
      <w:tr>
        <w:tc>
          <w:tcPr>
            <w:tcW w:type="dxa" w:w="5242"/>
            <w:tcMar>
              <w:top w:type="dxa" w:w="100"/>
              <w:left w:type="dxa" w:w="120"/>
              <w:bottom w:type="dxa" w:w="100"/>
              <w:right w:type="dxa" w:w="120"/>
            </w:tcMar>
          </w:tcPr>
          <w:p>
            <w:r>
              <w:rPr>
                <w:b w:val="false"/>
                <w:bCs w:val="false"/>
                <w:color w:val="000000"/>
              </w:rPr>
              <w:t xml:space="preserve">A user can require a second factor beyond their password before sign-in succeeds: "2-step verification adds an extra layer of security to your Google Account. In addition to your username and password, you'll enter a code that Google will send you via text or voice message upon signing in."</w:t>
            </w:r>
          </w:p>
        </w:tc>
        <w:tc>
          <w:tcPr>
            <w:tcW w:type="dxa" w:w="2016"/>
            <w:tcMar>
              <w:top w:type="dxa" w:w="100"/>
              <w:left w:type="dxa" w:w="120"/>
              <w:bottom w:type="dxa" w:w="100"/>
              <w:right w:type="dxa" w:w="120"/>
            </w:tcMar>
          </w:tcPr>
          <w:p>
            <w:r>
              <w:rPr>
                <w:b w:val="false"/>
                <w:bCs w:val="false"/>
                <w:color w:val="000000"/>
              </w:rPr>
              <w:t xml:space="preserve">Authentication</w:t>
            </w:r>
          </w:p>
        </w:tc>
        <w:tc>
          <w:tcPr>
            <w:tcW w:type="dxa" w:w="2822"/>
            <w:tcMar>
              <w:top w:type="dxa" w:w="100"/>
              <w:left w:type="dxa" w:w="120"/>
              <w:bottom w:type="dxa" w:w="100"/>
              <w:right w:type="dxa" w:w="120"/>
            </w:tcMar>
          </w:tcPr>
          <w:p>
            <w:hyperlink w:history="1" r:id="rIdbooz-ipomiv12jjn3f7mj">
              <w:r>
                <w:rPr>
                  <w:rStyle w:val="Hyperlink"/>
                  <w:sz w:val="18"/>
                  <w:szCs w:val="18"/>
                </w:rPr>
                <w:t xml:space="preserve">Google: How 2-step verification works</w:t>
              </w:r>
            </w:hyperlink>
          </w:p>
        </w:tc>
      </w:tr>
      <w:tr>
        <w:tc>
          <w:tcPr>
            <w:tcW w:type="dxa" w:w="5242"/>
            <w:tcMar>
              <w:top w:type="dxa" w:w="100"/>
              <w:left w:type="dxa" w:w="120"/>
              <w:bottom w:type="dxa" w:w="100"/>
              <w:right w:type="dxa" w:w="120"/>
            </w:tcMar>
          </w:tcPr>
          <w:p>
            <w:r>
              <w:rPr>
                <w:b w:val="false"/>
                <w:bCs w:val="false"/>
                <w:color w:val="000000"/>
              </w:rPr>
              <w:t xml:space="preserve">Access to a mailbox can be granted to another user without giving up account ownership, and that access is limited: "Delegates can read, send, and delete messages for the delegated account, but they can't chat with anyone from the delegated account or change the password." A user without delegate access must not be able to reach another user's mailbox.</w:t>
            </w:r>
          </w:p>
        </w:tc>
        <w:tc>
          <w:tcPr>
            <w:tcW w:type="dxa" w:w="2016"/>
            <w:tcMar>
              <w:top w:type="dxa" w:w="100"/>
              <w:left w:type="dxa" w:w="120"/>
              <w:bottom w:type="dxa" w:w="100"/>
              <w:right w:type="dxa" w:w="120"/>
            </w:tcMar>
          </w:tcPr>
          <w:p>
            <w:r>
              <w:rPr>
                <w:b w:val="false"/>
                <w:bCs w:val="false"/>
                <w:color w:val="000000"/>
              </w:rPr>
              <w:t xml:space="preserve">Authorization</w:t>
            </w:r>
          </w:p>
        </w:tc>
        <w:tc>
          <w:tcPr>
            <w:tcW w:type="dxa" w:w="2822"/>
            <w:tcMar>
              <w:top w:type="dxa" w:w="100"/>
              <w:left w:type="dxa" w:w="120"/>
              <w:bottom w:type="dxa" w:w="100"/>
              <w:right w:type="dxa" w:w="120"/>
            </w:tcMar>
          </w:tcPr>
          <w:p>
            <w:hyperlink w:history="1" r:id="rIdwvdjf71wfkzjzq1wchhvx">
              <w:r>
                <w:rPr>
                  <w:rStyle w:val="Hyperlink"/>
                  <w:sz w:val="18"/>
                  <w:szCs w:val="18"/>
                </w:rPr>
                <w:t xml:space="preserve">Google: Delegate &amp; collaborate on email</w:t>
              </w:r>
            </w:hyperlink>
          </w:p>
        </w:tc>
      </w:tr>
      <w:tr>
        <w:tc>
          <w:tcPr>
            <w:tcW w:type="dxa" w:w="5242"/>
            <w:tcMar>
              <w:top w:type="dxa" w:w="100"/>
              <w:left w:type="dxa" w:w="120"/>
              <w:bottom w:type="dxa" w:w="100"/>
              <w:right w:type="dxa" w:w="120"/>
            </w:tcMar>
          </w:tcPr>
          <w:p>
            <w:r>
              <w:rPr>
                <w:b w:val="false"/>
                <w:bCs w:val="false"/>
                <w:color w:val="000000"/>
              </w:rPr>
              <w:t xml:space="preserve">A user can view and end active sign-in sessions on specific devices: a "session is a period of time during which you're signed in to your Google Account from a browser, app, or service on the device," and from the devices list the user can select a session and "click Sign out" to invalidate it remotely (e.g., if a device is lost or shared).</w:t>
            </w:r>
          </w:p>
        </w:tc>
        <w:tc>
          <w:tcPr>
            <w:tcW w:type="dxa" w:w="2016"/>
            <w:tcMar>
              <w:top w:type="dxa" w:w="100"/>
              <w:left w:type="dxa" w:w="120"/>
              <w:bottom w:type="dxa" w:w="100"/>
              <w:right w:type="dxa" w:w="120"/>
            </w:tcMar>
          </w:tcPr>
          <w:p>
            <w:r>
              <w:rPr>
                <w:b w:val="false"/>
                <w:bCs w:val="false"/>
                <w:color w:val="000000"/>
              </w:rPr>
              <w:t xml:space="preserve">Session Management</w:t>
            </w:r>
          </w:p>
        </w:tc>
        <w:tc>
          <w:tcPr>
            <w:tcW w:type="dxa" w:w="2822"/>
            <w:tcMar>
              <w:top w:type="dxa" w:w="100"/>
              <w:left w:type="dxa" w:w="120"/>
              <w:bottom w:type="dxa" w:w="100"/>
              <w:right w:type="dxa" w:w="120"/>
            </w:tcMar>
          </w:tcPr>
          <w:p>
            <w:hyperlink w:history="1" r:id="rIdj454m_os2nkg447iq0tlm">
              <w:r>
                <w:rPr>
                  <w:rStyle w:val="Hyperlink"/>
                  <w:sz w:val="18"/>
                  <w:szCs w:val="18"/>
                </w:rPr>
                <w:t xml:space="preserve">Google: See devices with account access</w:t>
              </w:r>
            </w:hyperlink>
          </w:p>
        </w:tc>
      </w:tr>
      <w:tr>
        <w:tc>
          <w:tcPr>
            <w:tcW w:type="dxa" w:w="5242"/>
            <w:tcMar>
              <w:top w:type="dxa" w:w="100"/>
              <w:left w:type="dxa" w:w="120"/>
              <w:bottom w:type="dxa" w:w="100"/>
              <w:right w:type="dxa" w:w="120"/>
            </w:tcMar>
          </w:tcPr>
          <w:p>
            <w:r>
              <w:rPr>
                <w:b w:val="false"/>
                <w:bCs w:val="false"/>
                <w:color w:val="000000"/>
              </w:rPr>
              <w:t xml:space="preserve">Sign-in and access events are recorded and reviewable so unauthorized activity can be traced: the account's security activity shows sign-in records, and if a user does "not recognize the activity on the page, like a location or access type, someone might have access to your account," prompting them to secure it.</w:t>
            </w:r>
          </w:p>
        </w:tc>
        <w:tc>
          <w:tcPr>
            <w:tcW w:type="dxa" w:w="2016"/>
            <w:tcMar>
              <w:top w:type="dxa" w:w="100"/>
              <w:left w:type="dxa" w:w="120"/>
              <w:bottom w:type="dxa" w:w="100"/>
              <w:right w:type="dxa" w:w="120"/>
            </w:tcMar>
          </w:tcPr>
          <w:p>
            <w:r>
              <w:rPr>
                <w:b w:val="false"/>
                <w:bCs w:val="false"/>
                <w:color w:val="000000"/>
              </w:rPr>
              <w:t xml:space="preserve">Accountability</w:t>
            </w:r>
          </w:p>
        </w:tc>
        <w:tc>
          <w:tcPr>
            <w:tcW w:type="dxa" w:w="2822"/>
            <w:tcMar>
              <w:top w:type="dxa" w:w="100"/>
              <w:left w:type="dxa" w:w="120"/>
              <w:bottom w:type="dxa" w:w="100"/>
              <w:right w:type="dxa" w:w="120"/>
            </w:tcMar>
          </w:tcPr>
          <w:p>
            <w:hyperlink w:history="1" r:id="rIdjglyujuu-ee_hjkorktvq">
              <w:r>
                <w:rPr>
                  <w:rStyle w:val="Hyperlink"/>
                  <w:sz w:val="18"/>
                  <w:szCs w:val="18"/>
                </w:rPr>
                <w:t xml:space="preserve">Google: Investigate suspicious activity on your account</w:t>
              </w:r>
            </w:hyperlink>
          </w:p>
        </w:tc>
      </w:tr>
      <w:tr>
        <w:tc>
          <w:tcPr>
            <w:tcW w:type="dxa" w:w="5242"/>
            <w:tcMar>
              <w:top w:type="dxa" w:w="100"/>
              <w:left w:type="dxa" w:w="120"/>
              <w:bottom w:type="dxa" w:w="100"/>
              <w:right w:type="dxa" w:w="120"/>
            </w:tcMar>
          </w:tcPr>
          <w:p>
            <w:r>
              <w:rPr>
                <w:b w:val="false"/>
                <w:bCs w:val="false"/>
                <w:color w:val="000000"/>
              </w:rPr>
              <w:t xml:space="preserve">Organizations can require a minimum encryption standard for mail delivery rather than leaving it optional: Google Workspace admins can configure Gmail so that "messages sent to and from the specified domains are always sent over a secure TLS connection," and messages that cannot meet that requirement are rejected/quarantined instead of being silently sent in the clear.</w:t>
            </w:r>
          </w:p>
        </w:tc>
        <w:tc>
          <w:tcPr>
            <w:tcW w:type="dxa" w:w="2016"/>
            <w:tcMar>
              <w:top w:type="dxa" w:w="100"/>
              <w:left w:type="dxa" w:w="120"/>
              <w:bottom w:type="dxa" w:w="100"/>
              <w:right w:type="dxa" w:w="120"/>
            </w:tcMar>
          </w:tcPr>
          <w:p>
            <w:r>
              <w:rPr>
                <w:b w:val="false"/>
                <w:bCs w:val="false"/>
                <w:color w:val="000000"/>
              </w:rPr>
              <w:t xml:space="preserve">Configuration Parameters Management</w:t>
            </w:r>
          </w:p>
        </w:tc>
        <w:tc>
          <w:tcPr>
            <w:tcW w:type="dxa" w:w="2822"/>
            <w:tcMar>
              <w:top w:type="dxa" w:w="100"/>
              <w:left w:type="dxa" w:w="120"/>
              <w:bottom w:type="dxa" w:w="100"/>
              <w:right w:type="dxa" w:w="120"/>
            </w:tcMar>
          </w:tcPr>
          <w:p>
            <w:hyperlink w:history="1" r:id="rIdrxap5wpwugnrrioebxhtt">
              <w:r>
                <w:rPr>
                  <w:rStyle w:val="Hyperlink"/>
                  <w:sz w:val="18"/>
                  <w:szCs w:val="18"/>
                </w:rPr>
                <w:t xml:space="preserve">Google: Send email over a secure TLS connection</w:t>
              </w:r>
            </w:hyperlink>
          </w:p>
        </w:tc>
      </w:tr>
    </w:tbl>
    <w:p>
      <w:pPr>
        <w:pStyle w:val="Heading1"/>
        <w:spacing w:after="120"/>
      </w:pPr>
      <w:r>
        <w:t xml:space="preserve">PART 2 – Eliciting Security Requirements from Stakeholders</w:t>
      </w:r>
    </w:p>
    <w:p>
      <w:pPr>
        <w:spacing w:after="160"/>
      </w:pPr>
      <w:r>
        <w:t xml:space="preserve">Interview questions to elicit specific, actionable requirements for protecting data in transit:</w:t>
      </w:r>
    </w:p>
    <w:p>
      <w:pPr>
        <w:spacing w:after="140"/>
      </w:pPr>
      <w:r>
        <w:rPr>
          <w:b/>
          <w:bCs/>
        </w:rPr>
        <w:t xml:space="preserve">1) </w:t>
      </w:r>
      <w:r>
        <w:t xml:space="preserve">When data moves between the client application and your servers (or between internal services), what encryption protocol and minimum version (e.g., TLS 1.2, TLS 1.3) do you require, and are there any cases where unencrypted transmission would be acceptable?</w:t>
      </w:r>
    </w:p>
    <w:p>
      <w:pPr>
        <w:spacing w:after="140"/>
      </w:pPr>
      <w:r>
        <w:rPr>
          <w:b/>
          <w:bCs/>
        </w:rPr>
        <w:t xml:space="preserve">2) </w:t>
      </w:r>
      <w:r>
        <w:t xml:space="preserve">Are there specific categories of data in transit — such as authentication credentials, payment card numbers, or other personally identifiable information — that need protection beyond standard transport encryption, such as end-to-end or field-level encryption?</w:t>
      </w:r>
    </w:p>
    <w:p>
      <w:pPr>
        <w:spacing w:after="140"/>
      </w:pPr>
      <w:r>
        <w:rPr>
          <w:b/>
          <w:bCs/>
        </w:rPr>
        <w:t xml:space="preserve">3) </w:t>
      </w:r>
      <w:r>
        <w:t xml:space="preserve">If a secure connection cannot be established, should the transmission fail closed (be blocked entirely) or be allowed to fall back to a lower level of protection, and who needs to be notified when a downgrade or failed connection occurs?</w:t>
      </w:r>
    </w:p>
    <w:p>
      <w:pPr>
        <w:pStyle w:val="Heading1"/>
        <w:spacing w:after="120"/>
      </w:pPr>
      <w:r>
        <w:t xml:space="preserve">PART 3 – Utilization of an AI Tool for Requirements Elicitation and Description</w:t>
      </w:r>
    </w:p>
    <w:p>
      <w:pPr>
        <w:spacing w:after="160"/>
      </w:pPr>
      <w:r>
        <w:t xml:space="preserve">AI tool used: Claude (Anthropic). The requirements below extend the Homework 1 program (add_numbers and subtract_numbers) with multiplication and division functions. As expected, these are primarily Integrity requirements, focused on valid/invalid inputs, boundary (min/max) values, and error handling.</w:t>
      </w:r>
    </w:p>
    <w:p>
      <w:pPr>
        <w:pStyle w:val="Heading2"/>
        <w:spacing w:after="120" w:before="240"/>
      </w:pPr>
      <w:r>
        <w:rPr>
          <w:color w:val="1F4E79"/>
        </w:rPr>
        <w:t xml:space="preserve">Multiplication</w:t>
      </w:r>
    </w:p>
    <w:p>
      <w:pPr>
        <w:spacing w:after="140"/>
      </w:pPr>
      <w:r>
        <w:rPr>
          <w:b/>
          <w:bCs/>
        </w:rPr>
        <w:t xml:space="preserve">1) </w:t>
      </w:r>
      <w:r>
        <w:t xml:space="preserve">The function must accept only numeric (integer or float) values for both operands; if a non-numeric or missing argument is passed, it must raise a clear error instead of silently producing an incorrect result.</w:t>
      </w:r>
    </w:p>
    <w:p>
      <w:pPr>
        <w:spacing w:after="140"/>
      </w:pPr>
      <w:r>
        <w:rPr>
          <w:b/>
          <w:bCs/>
        </w:rPr>
        <w:t xml:space="preserve">2) </w:t>
      </w:r>
      <w:r>
        <w:t xml:space="preserve">The result of a multiplication must not silently overflow or wrap around; if the product would exceed the maximum value the program's numeric type can represent, the function must signal an overflow/error condition rather than return a truncated or incorrect value.</w:t>
      </w:r>
    </w:p>
    <w:p>
      <w:pPr>
        <w:spacing w:after="140"/>
      </w:pPr>
      <w:r>
        <w:rPr>
          <w:b/>
          <w:bCs/>
        </w:rPr>
        <w:t xml:space="preserve">3) </w:t>
      </w:r>
      <w:r>
        <w:t xml:space="preserve">Multiplying by zero must always return exactly zero regardless of the sign or magnitude of the other operand, and the sign of the result must always be mathematically correct (e.g., a negative times a negative returns a positive).</w:t>
      </w:r>
    </w:p>
    <w:p>
      <w:pPr>
        <w:pStyle w:val="Heading2"/>
        <w:spacing w:after="120" w:before="240"/>
      </w:pPr>
      <w:r>
        <w:rPr>
          <w:color w:val="1F4E79"/>
        </w:rPr>
        <w:t xml:space="preserve">Division</w:t>
      </w:r>
    </w:p>
    <w:p>
      <w:pPr>
        <w:spacing w:after="140"/>
      </w:pPr>
      <w:r>
        <w:rPr>
          <w:b/>
          <w:bCs/>
        </w:rPr>
        <w:t xml:space="preserve">1) </w:t>
      </w:r>
      <w:r>
        <w:t xml:space="preserve">The function must reject a divisor of zero and raise a defined error, rather than crashing the whole program or returning an undefined value such as infinity or NaN without warning.</w:t>
      </w:r>
    </w:p>
    <w:p>
      <w:pPr>
        <w:spacing w:after="140"/>
      </w:pPr>
      <w:r>
        <w:rPr>
          <w:b/>
          <w:bCs/>
        </w:rPr>
        <w:t xml:space="preserve">2) </w:t>
      </w:r>
      <w:r>
        <w:t xml:space="preserve">The function must accept only numeric values for both operands, validating and rejecting non-numeric or missing arguments before performing the calculation.</w:t>
      </w:r>
    </w:p>
    <w:p>
      <w:pPr>
        <w:spacing w:after="140"/>
      </w:pPr>
      <w:r>
        <w:rPr>
          <w:b/>
          <w:bCs/>
        </w:rPr>
        <w:t xml:space="preserve">3) </w:t>
      </w:r>
      <w:r>
        <w:t xml:space="preserve">Non-integer results must be returned with consistent, defined precision/rounding behavior (e.g., standard floating-point division) so that repeated calls with the same inputs always produce the same output.</w:t>
      </w:r>
    </w:p>
    <w:p>
      <w:pPr>
        <w:pStyle w:val="Heading1"/>
        <w:spacing w:after="120"/>
      </w:pPr>
      <w:r>
        <w:t xml:space="preserve">PART 4 – Implement the Multiplication and Division Functions</w:t>
      </w:r>
    </w:p>
    <w:p>
      <w:pPr>
        <w:spacing w:after="160"/>
      </w:pPr>
      <w:r>
        <w:t xml:space="preserve">The functions multiply_numbers() and divide_numbers() were added to sum_difference.py (the Homework 1 program). divide_numbers() implements the Part 3 requirement that a zero divisor be rejected with a clear error rather than crashing the program. main() calls both new functions and demonstrates the required results:</w:t>
      </w:r>
    </w:p>
    <w:p>
      <w:pPr>
        <w:spacing w:after="80"/>
      </w:pPr>
      <w:r>
        <w:rPr>
          <w:rFonts w:ascii="Consolas" w:cs="Consolas" w:eastAsia="Consolas" w:hAnsi="Consolas"/>
        </w:rPr>
        <w:t xml:space="preserve">3 × 5 = 15</w:t>
      </w:r>
    </w:p>
    <w:p>
      <w:pPr>
        <w:spacing w:after="80"/>
      </w:pPr>
      <w:r>
        <w:rPr>
          <w:rFonts w:ascii="Consolas" w:cs="Consolas" w:eastAsia="Consolas" w:hAnsi="Consolas"/>
        </w:rPr>
        <w:t xml:space="preserve">121 × (-4) = (-484)</w:t>
      </w:r>
    </w:p>
    <w:p>
      <w:pPr>
        <w:spacing w:after="80"/>
      </w:pPr>
      <w:r>
        <w:rPr>
          <w:rFonts w:ascii="Consolas" w:cs="Consolas" w:eastAsia="Consolas" w:hAnsi="Consolas"/>
        </w:rPr>
        <w:t xml:space="preserve">389 × 0 = 0</w:t>
      </w:r>
    </w:p>
    <w:p>
      <w:pPr>
        <w:spacing w:after="80"/>
      </w:pPr>
      <w:r>
        <w:rPr>
          <w:rFonts w:ascii="Consolas" w:cs="Consolas" w:eastAsia="Consolas" w:hAnsi="Consolas"/>
        </w:rPr>
        <w:t xml:space="preserve">24 ÷ 3 = 8</w:t>
      </w:r>
    </w:p>
    <w:p>
      <w:pPr>
        <w:spacing w:after="80"/>
      </w:pPr>
      <w:r>
        <w:rPr>
          <w:rFonts w:ascii="Consolas" w:cs="Consolas" w:eastAsia="Consolas" w:hAnsi="Consolas"/>
        </w:rPr>
        <w:t xml:space="preserve">224 ÷ (-16) = (-14)</w:t>
      </w:r>
    </w:p>
    <w:p>
      <w:pPr>
        <w:spacing w:after="160"/>
      </w:pPr>
      <w:r>
        <w:rPr>
          <w:rFonts w:ascii="Consolas" w:cs="Consolas" w:eastAsia="Consolas" w:hAnsi="Consolas"/>
        </w:rPr>
        <w:t xml:space="preserve">88 ÷ 11 = 8</w:t>
      </w:r>
    </w:p>
    <w:p>
      <w:pPr>
        <w:spacing w:after="160"/>
      </w:pPr>
      <w:r>
        <w:t xml:space="preserve">Verified program output (captured from running python3 sum_difference.py) is shown below. This confirms all six required results are correct. A screenshot of the program running in your own terminal should be added here before submission, per the assignment instructions.</w:t>
      </w:r>
    </w:p>
    <w:p>
      <w:pPr>
        <w:pBdr>
          <w:top w:val="single" w:color="999999" w:sz="4"/>
          <w:bottom w:val="single" w:color="999999" w:sz="4"/>
          <w:left w:val="single" w:color="999999" w:sz="4"/>
          <w:right w:val="single" w:color="999999" w:sz="4"/>
        </w:pBdr>
        <w:shd w:fill="F2F2F2" w:color="auto" w:val="clear"/>
        <w:spacing w:after="40" w:before="120"/>
      </w:pPr>
      <w:r>
        <w:rPr>
          <w:rFonts w:ascii="Consolas" w:cs="Consolas" w:eastAsia="Consolas" w:hAnsi="Consolas"/>
          <w:sz w:val="20"/>
          <w:szCs w:val="20"/>
        </w:rPr>
        <w:t xml:space="preserve">Checking multiply_numbers:</w:t>
      </w:r>
    </w:p>
    <w:p>
      <w:pPr>
        <w:pBdr>
          <w:left w:val="single" w:color="999999" w:sz="4"/>
          <w:right w:val="single" w:color="999999" w:sz="4"/>
        </w:pBdr>
        <w:shd w:fill="F2F2F2" w:color="auto" w:val="clear"/>
        <w:spacing w:after="40"/>
      </w:pPr>
      <w:r>
        <w:rPr>
          <w:rFonts w:ascii="Consolas" w:cs="Consolas" w:eastAsia="Consolas" w:hAnsi="Consolas"/>
          <w:sz w:val="20"/>
          <w:szCs w:val="20"/>
        </w:rPr>
        <w:t xml:space="preserve">3 x 5 = 15</w:t>
      </w:r>
    </w:p>
    <w:p>
      <w:pPr>
        <w:pBdr>
          <w:left w:val="single" w:color="999999" w:sz="4"/>
          <w:right w:val="single" w:color="999999" w:sz="4"/>
        </w:pBdr>
        <w:shd w:fill="F2F2F2" w:color="auto" w:val="clear"/>
        <w:spacing w:after="40"/>
      </w:pPr>
      <w:r>
        <w:rPr>
          <w:rFonts w:ascii="Consolas" w:cs="Consolas" w:eastAsia="Consolas" w:hAnsi="Consolas"/>
          <w:sz w:val="20"/>
          <w:szCs w:val="20"/>
        </w:rPr>
        <w:t xml:space="preserve">121 x (-4) = -484</w:t>
      </w:r>
    </w:p>
    <w:p>
      <w:pPr>
        <w:pBdr>
          <w:left w:val="single" w:color="999999" w:sz="4"/>
          <w:right w:val="single" w:color="999999" w:sz="4"/>
        </w:pBdr>
        <w:shd w:fill="F2F2F2" w:color="auto" w:val="clear"/>
        <w:spacing w:after="40"/>
      </w:pPr>
      <w:r>
        <w:rPr>
          <w:rFonts w:ascii="Consolas" w:cs="Consolas" w:eastAsia="Consolas" w:hAnsi="Consolas"/>
          <w:sz w:val="20"/>
          <w:szCs w:val="20"/>
        </w:rPr>
        <w:t xml:space="preserve">389 x 0 = 0</w:t>
      </w:r>
    </w:p>
    <w:p>
      <w:pPr>
        <w:pBdr>
          <w:left w:val="single" w:color="999999" w:sz="4"/>
          <w:right w:val="single" w:color="999999" w:sz="4"/>
        </w:pBdr>
        <w:shd w:fill="F2F2F2" w:color="auto" w:val="clear"/>
        <w:spacing w:after="40"/>
      </w:pPr>
      <w:r>
        <w:rPr>
          <w:rFonts w:ascii="Consolas" w:cs="Consolas" w:eastAsia="Consolas" w:hAnsi="Consolas"/>
          <w:sz w:val="20"/>
          <w:szCs w:val="20"/>
        </w:rPr>
        <w:t xml:space="preserve"/>
      </w:r>
    </w:p>
    <w:p>
      <w:pPr>
        <w:pBdr>
          <w:left w:val="single" w:color="999999" w:sz="4"/>
          <w:right w:val="single" w:color="999999" w:sz="4"/>
        </w:pBdr>
        <w:shd w:fill="F2F2F2" w:color="auto" w:val="clear"/>
        <w:spacing w:after="40"/>
      </w:pPr>
      <w:r>
        <w:rPr>
          <w:rFonts w:ascii="Consolas" w:cs="Consolas" w:eastAsia="Consolas" w:hAnsi="Consolas"/>
          <w:sz w:val="20"/>
          <w:szCs w:val="20"/>
        </w:rPr>
        <w:t xml:space="preserve">Checking divide_numbers:</w:t>
      </w:r>
    </w:p>
    <w:p>
      <w:pPr>
        <w:pBdr>
          <w:left w:val="single" w:color="999999" w:sz="4"/>
          <w:right w:val="single" w:color="999999" w:sz="4"/>
        </w:pBdr>
        <w:shd w:fill="F2F2F2" w:color="auto" w:val="clear"/>
        <w:spacing w:after="40"/>
      </w:pPr>
      <w:r>
        <w:rPr>
          <w:rFonts w:ascii="Consolas" w:cs="Consolas" w:eastAsia="Consolas" w:hAnsi="Consolas"/>
          <w:sz w:val="20"/>
          <w:szCs w:val="20"/>
        </w:rPr>
        <w:t xml:space="preserve">24 / 3 = 8</w:t>
      </w:r>
    </w:p>
    <w:p>
      <w:pPr>
        <w:pBdr>
          <w:left w:val="single" w:color="999999" w:sz="4"/>
          <w:right w:val="single" w:color="999999" w:sz="4"/>
        </w:pBdr>
        <w:shd w:fill="F2F2F2" w:color="auto" w:val="clear"/>
        <w:spacing w:after="40"/>
      </w:pPr>
      <w:r>
        <w:rPr>
          <w:rFonts w:ascii="Consolas" w:cs="Consolas" w:eastAsia="Consolas" w:hAnsi="Consolas"/>
          <w:sz w:val="20"/>
          <w:szCs w:val="20"/>
        </w:rPr>
        <w:t xml:space="preserve">224 / (-16) = -14</w:t>
      </w:r>
    </w:p>
    <w:p>
      <w:pPr>
        <w:pBdr>
          <w:bottom w:val="single" w:color="999999" w:sz="4"/>
          <w:left w:val="single" w:color="999999" w:sz="4"/>
          <w:right w:val="single" w:color="999999" w:sz="4"/>
        </w:pBdr>
        <w:shd w:fill="F2F2F2" w:color="auto" w:val="clear"/>
        <w:spacing w:after="40"/>
      </w:pPr>
      <w:r>
        <w:rPr>
          <w:rFonts w:ascii="Consolas" w:cs="Consolas" w:eastAsia="Consolas" w:hAnsi="Consolas"/>
          <w:sz w:val="20"/>
          <w:szCs w:val="20"/>
        </w:rPr>
        <w:t xml:space="preserve">88 / 11 = 8</w:t>
      </w:r>
    </w:p>
    <w:p>
      <w:pPr>
        <w:spacing w:after="160"/>
      </w:pPr>
      <w:r>
        <w:t xml:space="preserve"/>
      </w:r>
    </w:p>
    <w:p>
      <w:pPr>
        <w:spacing w:after="160"/>
      </w:pPr>
      <w:r>
        <w:t xml:space="preserve">Source code: see sum_difference.py, submitted alongside this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drvvwweh_iuoy_lqitr8" Type="http://schemas.openxmlformats.org/officeDocument/2006/relationships/hyperlink" Target="https://support.google.com/mail/answer/6330403?hl=en" TargetMode="External"/><Relationship Id="rIdbooz-ipomiv12jjn3f7mj" Type="http://schemas.openxmlformats.org/officeDocument/2006/relationships/hyperlink" Target="https://support.google.com/answer/2451907?hl=en" TargetMode="External"/><Relationship Id="rIdwvdjf71wfkzjzq1wchhvx" Type="http://schemas.openxmlformats.org/officeDocument/2006/relationships/hyperlink" Target="https://support.google.com/mail/answer/138350?hl=en" TargetMode="External"/><Relationship Id="rIdj454m_os2nkg447iq0tlm" Type="http://schemas.openxmlformats.org/officeDocument/2006/relationships/hyperlink" Target="https://support.google.com/accounts/answer/3067630?hl=en" TargetMode="External"/><Relationship Id="rIdjglyujuu-ee_hjkorktvq" Type="http://schemas.openxmlformats.org/officeDocument/2006/relationships/hyperlink" Target="https://support.google.com/accounts/answer/140921?hl=en" TargetMode="External"/><Relationship Id="rIdrxap5wpwugnrrioebxhtt" Type="http://schemas.openxmlformats.org/officeDocument/2006/relationships/hyperlink" Target="https://support.google.com/a/answer/2520500?hl=e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2026-09-01T18:15:29.637Z</dcterms:created>
  <dcterms:modified xsi:type="dcterms:W3CDTF">2026-09-01T18:15:29.657Z</dcterms:modified>
</cp:coreProperties>
</file>

<file path=docProps/custom.xml><?xml version="1.0" encoding="utf-8"?>
<Properties xmlns="http://schemas.openxmlformats.org/officeDocument/2006/custom-properties" xmlns:vt="http://schemas.openxmlformats.org/officeDocument/2006/docPropsVTypes"/>
</file>