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评价得分0.909，优于公开RIDCP （0.899）；通过选取30幅质量差的图像实验，峰值信噪比（PSNR）达23.11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构成关于1.0对称的约束：允许最大45%的残差衰减（抑制眩光过冲）或45%的残差放大（强化低可见度区域），实现在二者之间的平衡控制。【修订注：代码实现中式(11)含调制项M(x)=(1−G(x))·(0.5+0.5·V(x))，完整公式为 S_final = clip(1 + γG·S·M(x), 0.55, 1.45)，其中M(x)在眩光区域（G→1）趋近于0抑制残差放大、在低可见度区域（V→1）趋近于1允许充分增强。式(11)的简化表述与代码不符，将在正式修订版中补充完整公式。】</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 xml:space="preserve">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G（FLOPs均在[XXX×YYY]分辨率单帧输入下用thop计算，作者需补充具体分辨率），GPU推理时延由36.5 </w:t>
      </w:r>
      <w:r>
        <w:rPr>
          <w:rFonts w:ascii="Times New Roman" w:hAnsi="Times New Roman" w:eastAsia="Times New Roman" w:cs="Times New Roman"/>
        </w:rPr>
        <w:t>ms</w:t>
      </w:r>
      <w:r>
        <w:t xml:space="preserve">增至37.3 </w:t>
      </w:r>
      <w:r>
        <w:rPr>
          <w:rFonts w:ascii="Times New Roman" w:hAnsi="Times New Roman" w:eastAsia="Times New Roman" w:cs="Times New Roman"/>
        </w:rPr>
        <w:t>ms</w:t>
      </w:r>
      <w:r>
        <w:t xml:space="preserve">（增量&lt;1 </w:t>
      </w:r>
      <w:r>
        <w:rPr>
          <w:rFonts w:ascii="Times New Roman" w:hAnsi="Times New Roman" w:eastAsia="Times New Roman" w:cs="Times New Roman"/>
        </w:rPr>
        <w:t>ms</w:t>
      </w:r>
      <w:r>
        <w:t>），在NVIDIA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各方法的失效模式呈现显著差异：DCP因暗通道假设在煤矿灯光场景下系统性失效，PSNR仅15.92 dB，暗度代理高达0.409（表3），可见度得分跌至0.812；CLAHE的SSIM最低（0.805），表明其局部直方图修正与真实参考存在较大结构偏差；Retinex的SSIM仅0.681，色调调整引入系统性偏差；AdaIR(ICLR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2025)[35]（代理集实测，n=152，448×256）PSNR领先2.41 dB，SSIM领先0.171；模型参数增幅&lt;1%，GPU时延增加&lt;1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PSNR）与GARC协同的有效性。该框架为标注数据稀缺的煤矿场景提供了一条计算高效、物理可解释、迁移安全的图像复原路径，在煤矿带式输送机目标检测的视觉增强领域具有较强的实用价值与方法扩展潜力。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