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w:t>
      </w:r>
      <w:r>
        <w:t>在288对真实配对测试集上的PSNR为23.42 dB，SSIM为0.956，MAE为0.057，综合可见度代理得分为0.931，在全部7类对比方法中均位居最优（表2）。相较最强可访问开源基线AdaIR(ICLR 2025)（代理集实测）：PSNR提升2.41 dB（20.71→23.12 dB），SSIM提升0.171（0.734→0.905），MAE降低0.017（0.076→0.059）；相较骨干基线（无VCA/GARC）：PSNR提升0.56 dB，可见度代理提升0.013，验证了</w:t>
      </w:r>
      <w:r>
        <w:rPr>
          <w:rFonts w:hint="eastAsia"/>
        </w:rPr>
        <w:t>煤矿</w:t>
      </w:r>
      <w:r>
        <w:t>先验自适应的有效性。</w:t>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+2.41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在六幅代表性场景上综合可见度代理Vis最高（0.909），锐度（0.028）亦最优，表明煤矿先验条件化的特征适配有效复原了弱结构细节（表3）。图2以三维曲面展示全部方法在M1–M6场景上的可见度代理分布，可直观观察到LUCIDMine在各场景的稳定优势。值得注意的是，LUCIDMine的眩光代理（0.014）与过曝率（0.054）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6种方法中均位居最优（表4）。图3以圆弧剖面图直观呈现各方法在四项指标上的相对排名，LUCIDMine在三个正向指标（PSNR、SSIM、Vis）上均处于最外弧，在MAE（越小越好）上处于最内弧，排名一致。DCP与Retinex的PSNR均低于16 dB，印证了单一物理先验在</w:t>
      </w:r>
      <w:r>
        <w:rPr>
          <w:rFonts w:hint="eastAsia"/>
        </w:rPr>
        <w:t>煤矿</w:t>
      </w:r>
      <w:r>
        <w:t>复合退化下的系统性局限。</w:t>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dB（表2）揭示其过度增强导致的失真；AdaIR[35]在M3蓝色灯光场Vis最优（0.708），其余场景低于DCP；LUCIDMine在M4仪表雾化（0.617）与M5顶板纹理（0.683）场景优于AdaIR，综合复原质量以全参考指标（表2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2025)[35]（代理集实测，n=152，448×256）PSNR领先2.41 dB，SSIM领先0.171；模型参数增幅&lt;1%，GPU时延增加&lt;1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