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正向校正施加惩罚，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0.05经网格搜索确定，以像素保真度为主导，同时给予模型保留结构的显式激励；λg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注：配对t检验（双尾，n=152）证实LUCIDMine的Vis得分相对全部五种基线方法均达极显著水平（p&lt;0.001，t≥11.3）；最小显著差异为LUCIDMine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驱动因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