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dB，SSIM为0.956，MAE为0.057，综合可见度代理Vis为0.931；在可比评估协议（152对代理集，448×256分辨率）下，LUCIDMine（PSNR 23.12 dB）较最新开源基线AdaIR（ICLR 2025）（20.71 dB）领先2.41 dB，SSIM领先0.171；消融实验验证了VCA（+2.81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关键词：煤矿井下图像复原；复合退化抑制；物理先验张量；参数高效域自适应；眩光感知校准；可见度增强</w:t>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6869E8FE">
      <w:pPr>
        <w:spacing w:after="60" w:line="360" w:lineRule="auto"/>
        <w:ind w:left="420" w:hanging="420"/>
      </w:pPr>
      <w:r>
        <w:t w:space="preserve">本文其余部分组织如下：第2节详述LUCIDMine方法框架，包括问题建模、煤矿物理先验张量设计、VCA与GARC模块及训练策略；第3节描述实验设置；第4节报告并分析实验结果，包括定量评估、消融实验、跨域稳定性与逐场景可见度分析；第5节讨论方法优势与局限性；第6节给出结论与展望。</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7）中三个经验常数含义如下：0.55为可靠性下限，确保先验注入在任何场景下保持不低于55%的强度；系数0.45控制低可见度区域（V→1）的可靠性增益，使其趋近1.0；系数0.35在眩光区域（G→1）将可靠性最多降至约0.65倍，以保守对待已饱和光源，避免对眩光区域过度增强。三个常数值由以下设计约束联合确定：α₀+α₁ = 0.55+0.45 = 1.0，保证纯低可见度极端场景（V=1,G=0）获得满强度注入；1−β = 1−0.35 = 0.65，保证纯眩光极端场景（G=1,V=0）仍保留65%注入而非完全置零，维持训练早期有效的先验梯度信号；两因子之积在[0.55×0.65, 1.0] = [0.36, 1.0]范围内单调有界，保证可靠性调制图的数值稳定性。</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rPr>
      </w:r>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在可比评估协议（152对代理集，448×256分辨率）下，相较AdaIR(ICLR 2025)：PSNR领先2.41 dB（20.71→23.12 dB），SSIM领先0.171（0.734→0.905），MAE降低0.017（0.076→0.059）；相较骨干基线（无VCA/GARC）：PSNR提升0.56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dB，但其户外通用设计未针对煤矿眩光建模，与LUCIDMine（同协议代理集：23.12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2025)为最新开源去雾基线；值来自代理集(n=152,448×256)，与本表其他方法（288对真实测试集）不直接可比，仅供评估方法可访问性参考。LUCIDMine相对AdaIR（同协议448×256代理集）：PSNR +2.41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本文表明，当训练标注稀缺且退化物理机制明确时，以轻量化物理先验模块对预训练骨干实施参数高效域自适应，可在极低参数代价（不足1%增量）下显著超越同一骨干的零样本直接推理（PSNR +2.16 dB），同时以远少于全参数通用去雾模型的领域标注需求实现可比或更优的性能——该设计范式兼具参数高效性、物理可解释性与迁移安全性。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dB、SSIM达0.956，在可比评估协议下较最新开源基线AdaIR（代理集，ICLR 2025）[35]分别领先2.41 dB与0.171，GPU推理时延仅增加&lt;1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