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基于煤矿物理先验自适应注入的井下复合退化图像端到端复原方法</w:t>
      </w:r>
      <w:r>
        <w:rPr>
          <w:b/>
          <w:bCs/>
          <w:sz w:val="30"/>
          <w:szCs w:val="30"/>
        </w:rPr>
      </w:r>
      <w:r>
        <w:rPr>
          <w:rFonts w:hint="eastAsia"/>
          <w:b/>
          <w:bCs/>
          <w:sz w:val="30"/>
          <w:szCs w:val="30"/>
        </w:rPr>
      </w:r>
      <w:r>
        <w:rPr>
          <w:b/>
          <w:bCs/>
          <w:sz w:val="30"/>
          <w:szCs w:val="30"/>
        </w:rPr>
      </w:r>
      <w:r>
        <w:rPr>
          <w:rFonts w:hint="eastAsia"/>
          <w:b/>
          <w:bCs/>
          <w:sz w:val="30"/>
          <w:szCs w:val="30"/>
        </w:rPr>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同时受粉尘散射、眩光饱和与低照度三类耦合退化影响，严重制约安全视觉监控的可靠性。现有图像复原方法均针对单一退化类型设计，难以应对上述耦合退化场景。本文提出LUCIDMine——面向煤矿井下复合退化的端到端图像复原框架。核心创新在于：设计四维煤矿物理先验张量Pm = [Y, D, G, V]与场景自适应可靠性调制图R(Pm)，首次在统一物理先验框架内对三类退化的空间分布实施显式建模与自适应权重调控；在预训练多尺度去雾主干[5]基础上，以不足1%参数增量引入两个煤矿定制模块：可见度条件化瓶颈适配模块（VCA）通过零门控残差路径将Pm注入128通道压缩瓶颈，实现退化感知的特征自适应；眩光感知残差校准模块（GARC）与VCA协同，对图像域复原残差进行逐像素眩光感知缩放，强化高光区域的稳健性。同时构建1920对真实工业配对井下监控图像数据集，涵盖六类典型复合退化场景。在288对真实配对测试集上，PSNR为23.42 dB，SSIM为0.956，MAE为0.057，综合可见度代理Vis为0.931；在可比评估协议（152对代理集，448×256分辨率）下，LUCIDMine（PSNR 23.12 dB）较最新开源基线AdaIR（ICLR 2025）（20.71 dB）领先2.41 dB，SSIM领先0.171；消融实验验证了VCA（+2.81 dB PSNR）与GARC协同的有效性。</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关键词：煤矿井下图像复原；复合退化抑制；物理先验张量；参数高效域自适应；眩光感知校准；可见度增强</w:t>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r>
        <w:rPr>
          <w:rFonts w:ascii="黑体" w:hAnsi="黑体" w:eastAsia="黑体" w:cs="黑体"/>
          <w:b/>
          <w:bCs/>
        </w:rPr>
      </w:r>
      <w:r>
        <w:rPr>
          <w:rFonts w:hint="eastAsia" w:ascii="黑体" w:hAnsi="黑体" w:eastAsia="黑体" w:cs="黑体"/>
          <w:b/>
          <w:bCs/>
        </w:rPr>
      </w:r>
    </w:p>
    <w:p w14:paraId="3265E3F0">
      <w:pPr>
        <w:spacing w:after="240"/>
      </w:pPr>
    </w:p>
    <w:p w14:paraId="050F6086">
      <w:pPr>
        <w:pStyle w:val="2"/>
        <w:jc w:val="both"/>
      </w:pPr>
      <w:r>
        <w:t>1  引言</w:t>
      </w:r>
    </w:p>
    <w:p w14:paraId="252F2EF9">
      <w:pPr>
        <w:spacing w:line="360" w:lineRule="auto"/>
        <w:ind w:firstLine="420"/>
      </w:pPr>
      <w:r>
        <w:rPr>
          <w:rFonts w:hint="eastAsia"/>
        </w:rPr>
        <w:t>带式输送机是煤矿井下物料运输的主动脉，其运行状态的视觉监控对皮带撕裂、堆煤堵塞等安全事故的早期预警至关重要。然而，矿工头灯与机械前照灯所形成的照明具有显著的空间非均匀性与高动态范围特征；爆破和截割作业产生的粉尘与水汽引发前向散射，造成对比度下降与弱结构湮没；上述退化与低反射率煤岩背景叠加，使单帧图像中饱和高光与几近全黑的暗区并存，形成远比户外雾霾更复杂的混合退化场景。这一复合退化直接制约图像分析与目标识别的可靠性，而现有图像复原方法均针对单一退化类型设计，在上述耦合退化场景下系统性失效，凸显了针对煤矿井下图像开展专项复原研究的迫切必要性。</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[25]将图像分解为反射率与照度之积，后续方法发展出照度图估计（LIME[22]）、零参考深度曲线估计（Zero-DCE[23]）、自标定照度学习（SCI[26]）及生成对抗增强（EnlightenGAN[24]）等变体。离散化表示学习[27,28]与注意力机制[6,7]进一步增强了骨干网络对复杂场景的泛化能力；参数高效微调思路[29]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综上，现有方法存在三重研究空白：其一，无方法同时对煤矿眩光饱和、粉尘散射与低照度三类退化的空间耦合实施显式建模；其二，无方法在复用户外预训练骨干先验的同时对煤矿专有退化实施轻量化自适应校正；其三，缺乏来自真实工业监控现场的大规模配对数据集支撑全面定量评估。</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43C98BE0">
      <w:pPr>
        <w:spacing w:line="360" w:lineRule="auto"/>
        <w:ind w:firstLine="420"/>
      </w:pPr>
      <w:r>
        <w:t>针对上述挑战，本文提出LUCIDMine——面向煤矿井下复合退化的端到端图像复原框架。LUCIDMine以预训练于真实户外去雾的多尺度残差编解码主干[5]为骨干，编码器逐级将场景信息压缩为128通道压缩瓶颈表示，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（1）针对煤矿井下眩光饱和、粉尘散射与低照度三类耦合退化，设计可解释的四维煤矿物理先验张量Pm = [Y, D, G, V]与场景自适应可靠性调制图R(Pm) = (0.55+0.45V)(1−0.35G)，首次在统一物理先验框架内对上述三类退化的空间分布实施显式建模与自适应权重调控；以Pm为条件对预训练于真实户外去雾的多尺度压缩-瓶颈-自适应主干网络[5]进行煤矿域迁移适配，构成端到端复原框架LUCIDMine，解决通用去雾与低光方法在带式输送机监控复合退化场景下系统性失效的问题。</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借助贡献（1）中定义的可靠性调制图R(Pm)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（3）提出眩光感知残差校准模块（Glare-Aware Residual Calibrator，GARC），在图像空间对VCA增强后的复原残差进行逐像素眩光感知缩放：基于与VCA共享的物理先验调制思想，在眩光区域（G→1）抑制残差放大以避免灯晕过冲，在低可见度区域（V→1）允许残差充分增强以恢复弱纹理细节。GARC的贡献体现于感知质量层面（高光稳健性、弱纹理保留）而非像素级重建误差，与VCA协同后可见度代理在全部六类退化场景均取得最优，高光区域的稳健性显著改善。</w:t>
      </w:r>
      <w:r>
        <w:rPr>
          <w:rFonts w:ascii="Times New Roman" w:hAnsi="Times New Roman" w:eastAsia="Times New Roman" w:cs="Times New Roman"/>
        </w:rPr>
      </w:r>
      <w:r>
        <w:rPr>
          <w:rFonts w:hint="eastAsia"/>
        </w:rPr>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方案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其中θ为预训练骨干参数，η为轻量化煤矿自适应参数，Pm ∈ ℝH×W×4为由I无标注计算的煤矿先验张量。设计遵循三原则：（1）自适应模块以恒等映射初始化（训练起始阶段网络输出与骨干预训练完全一致）；（2）退化感知先验显式注入——通过四维先验使网络感知散射、眩光与暗区的空间分布；（3）残差局部校准——新增模块对骨干输出进行精细修正，而非独立重建。</w:t>
      </w:r>
      <w:r>
        <w:rPr>
          <w:rFonts w:ascii="Times New Roman" w:hAnsi="Times New Roman" w:eastAsia="Times New Roman" w:cs="Times New Roman"/>
          <w:i/>
          <w:iCs/>
        </w:rPr>
      </w:r>
      <w:r/>
      <w:r>
        <w:rPr>
          <w:rFonts w:ascii="Times New Roman" w:hAnsi="Times New Roman" w:eastAsia="Times New Roman" w:cs="Times New Roman"/>
          <w:i/>
          <w:iCs/>
        </w:rPr>
      </w:r>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
        <w:rPr>
          <w:rFonts w:hint="eastAsia"/>
        </w:rPr>
      </w:r>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是固定的局部对比度阈值，本文实现中取 τ_v=0.25（该阈值在归一化亮度空间中将亮度偏差[0, 0.25]线性映射至先验[1, 0]，弱对比度散射区先验趋近1，亮度偏差超过0.25的高对比度结构区先验衰减至零，与煤矿粉尘散射导致全局对比度压缩的物理特征相符），进一步，以7×7滑动平均池化（半径3像素，反射填充）代替局部块均值，即得式（6）（与式（5）结构相同，窗口实现为F.avg_pool2d核7×7，stride=1）。基于Pm定义可靠性图，调控VCA与GARC的先验条件化强度：</w:t>
      </w:r>
      <w:r>
        <w:rPr>
          <w:rFonts w:hint="eastAsia" w:ascii="Times New Roman" w:hAnsi="Times New Roman" w:cs="Times New Roman"/>
        </w:rPr>
      </w:r>
      <w:r>
        <w:rPr>
          <w:rFonts w:hint="eastAsia" w:ascii="Times New Roman" w:hAnsi="Times New Roman" w:eastAsia="Times New Roman" w:cs="Times New Roman"/>
        </w:rPr>
      </w:r>
      <w:r>
        <w:rPr>
          <w:rFonts w:hint="eastAsia" w:ascii="Times New Roman" w:hAnsi="Times New Roman" w:cs="Times New Roman"/>
        </w:rPr>
      </w:r>
      <w:r>
        <w:rPr>
          <w:rFonts w:hint="eastAsia"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Adapter）是一个由煤矿可见度先验条件控制的瓶颈特征适配模块，作用于压缩瓶颈特征z ∈ ℝ(H/16)×(W/16)×128。其功能是将下采样后的先验张量Pm映射至与瓶颈相同的特征空间，并以先验条件化的方式修正瓶颈表示，从而使骨干网络感知煤矿场景特有的退化空间分布。先验投影采用两层1×1卷积（中间加PReLU激活，上标表示输出通道数）：</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
        <w:rPr>
          <w:rFonts w:hint="eastAsia"/>
        </w:rPr>
      </w:r>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其中γV为初始化为零的可学习标量门控；⊙表示逐元素乘法，R(Pm)在通道维度广播至128通道后执行。零初始化确保zm = z在迁移初始阶段严格成立，从而保留预训练骨干的全部复原先验，以煤矿自适应训练为起点，逐步学习先验引导的自适应修正。</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
        <w:rPr>
          <w:rFonts w:hint="eastAsia"/>
        </w:rPr>
      </w:r>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tanh(W_G * Pm) ∈ ℝH×W×3为经tanh归一化至(−1, 1)的逐像素逐通道学习尺度（W_G为1×1卷积权重）。式（11）包含场景调制项M(x)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式16，设计备用）对高眩光区域的过度增强进行约束，其中G为式（4）定义的眩光先验图（全分辨率）。注：GARC模块已通过式（11）的M(x)=(1−G)·(0.5+0.5V)在架构层面内嵌了眩光抑制，实验表明仅三项损失（λg=0）即可达到最优验证PSNR；式（16）保留供后续研究参考：</w:t>
      </w:r>
      <w:r>
        <w:rPr>
          <w:rFonts w:ascii="Times New Roman" w:hAnsi="Times New Roman" w:eastAsia="Times New Roman" w:cs="Times New Roman"/>
          <w:b/>
          <w:bCs/>
          <w:i/>
          <w:iCs/>
        </w:rPr>
      </w:r>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损失权重λ1 = 1.0, λs = 0.2, λe = 0.05经网格搜索确定，以像素保真度为主导，同时为模型提供明确的结构保留约束；λg = 0（眩光正则项在当前训练版本未激活，见式16说明）。</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p>
    <w:p w14:paraId="4386D98E">
      <w:pPr>
        <w:spacing w:line="300" w:lineRule="auto"/>
        <w:ind w:firstLine="420"/>
      </w:pPr>
      <w:r>
        <w:t>训练分两阶段进行：（1）预热阶段（20轮）冻结骨干所有参数，仅训练VCA、GARC及其标量门控γV、γG，使新增路径学习稳定的煤矿先验响应而不损害骨干复原能力；（2）自适应阶段（80轮）解冻骨干的瓶颈与解码器层（编码器保持冻结以防对摄像机特定噪声过拟合），与VCA/GARC联合端到端优化。采用AdamW优化器（β1 = 0.9, β2 = 0.999），VCA/GARC学习率 2×10−4，解冻骨干层学习率 2×10−5，余弦退火调度，5轮线性预热，批量大小8，随机256×256裁剪，含水平翻转与亮度/对比度扰动数据增强，在单张NVIDIA RTX 3090 GPU上训练约16小时完成。</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hint="eastAsia"/>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安装于煤矿巷道与采掘工作面的1080p监控摄像机采集，采集历时三个月，覆盖正常截割、爆破后扬尘、机械检修、人员通行等多种生产工况，涉及两座华东煤矿，图像分辨率为1920×1080像素。每对图像由同一监控视角下的退化帧与较清晰目标帧构成。目标帧由退化帧经去退化预处理算法增强后生成，作为有监督训练的伪标签监督信号；固定摄像机视角保证了退化帧与参考帧的像素级空间对准，无需额外配准处理。鉴于参考帧并非理想纯净图像，PSNR/SSIM度量各方法输出与该参考分布的吻合程度（各方法在同一参考集上公平评估，相对排名有效），无参考可见度指标Vis提供独立的感知质量佐证。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在可比评估协议（152对代理集，448×256分辨率）下，相较AdaIR(ICLR 2025)：PSNR领先2.41 dB（20.71→23.12 dB），SSIM领先0.171（0.734→0.905），MAE降低0.017（0.076→0.059）；相较骨干基线（无VCA/GARC）：PSNR提升0.56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dB，但其户外通用设计未针对煤矿眩光建模，与LUCIDMine（同协议代理集：23.12 dB）相差2.41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2025)为最新开源去雾基线；值来自代理集(n=152,448×256)，与本表其他方法（288对真实测试集）不直接可比，仅供评估方法可访问性参考。LUCIDMine相对AdaIR（同协议448×256代理集）：PSNR +2.41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注：配对t检验（双尾，n=152）证实LUCIDMine的Vis得分相对全部五种基线方法均达极显著水平（p&lt;0.001，t≥11.3）；显著性差异最弱的配对为LUCIDMine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原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的蓝紫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四维先验各通道直接对应物理退化来源（Y→曝光水平，D→散射强度，G→眩光程度，V→局部可见度），模型在不同场景下的性能差异可通过对应先验通道的响应状态加以解释，为方法局限性定位与后续优化方向的识别提供了物理依据。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7F4F1691">
      <w:pPr>
        <w:spacing w:after="120" w:line="300" w:lineRule="auto"/>
        <w:ind w:left="420" w:hanging="420"/>
      </w:pPr>
      <w:r>
        <w:t w:space="preserve">（4）伪标签监督信号局限：训练监督信号依赖算法生成的伪标签参考帧，而非理想纯净图像，模型存在对特定参考算法风格过拟合的风险。PSNR/SSIM反映模型输出与该参考分布的吻合程度，可能低估模型的实际复原质量（若伪标签质量低于理想）；无参考Vis指标的一致性结果在一定程度上缓解了此局限。未来工作可通过引入真实多曝光配对标注或无监督训练范式加以改进。</w:t>
      </w:r>
    </w:p>
    <w:p w14:paraId="5E6866AA">
      <w:pPr>
        <w:pStyle w:val="2"/>
        <w:spacing w:before="280" w:after="100" w:line="300" w:lineRule="auto"/>
      </w:pPr>
      <w:r>
        <w:t>6　结论</w:t>
      </w:r>
    </w:p>
    <w:p w14:paraId="53B2426A">
      <w:pPr>
        <w:spacing w:line="300" w:lineRule="auto"/>
        <w:ind w:firstLine="420"/>
      </w:pPr>
      <w:r>
        <w:t>本文表明，当训练标注稀缺且退化物理机制明确时，显式领域物理先验注入比端到端重训练更高效、更可解释、迁移更安全。LUCIDMine以预训练户外去雾骨干[5]为基础，通过四维煤矿物理先验张量Pm与可靠性调制图R(Pm)，以不足1%的参数增量实现了煤矿复合退化的域自适应；VCA的零门控初始化与GARC的残差截断约束共同保证了迁移不损害预训练先验能力。在288对真实配对测试集上，PSNR达23.42 dB、SSIM达0.956，在可比评估协议下较最新开源基线AdaIR（代理集，ICLR 2025）[35]分别领先2.41 dB与0.171，GPU推理时延仅增加&lt;1 ms，满足煤矿现场实时部署要求。该物理先验迁移范式对采矿、隧道施工、水下视觉等同类标注稀缺工业场景具有直接借鉴价值；未来结合下游带式输送机目标检测任务的联合优化，以及面向边缘计算设备的模型压缩探索，有望进一步将图像复原的质量增益转化为可量化的安全监控收益。</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XIANG L,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ANCUTI C O,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28(1):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TIAN F, GAO L, ZHANG J. An image dehazing algorithm for underground coal mines based on gUNet[J]. Sensors, 2024, 24(11): 3422.</w:t>
      </w:r>
    </w:p>
    <w:p w14:paraId="6C38570E">
      <w:pPr>
        <w:spacing w:after="55" w:line="280" w:lineRule="auto"/>
        <w:ind w:left="420" w:hanging="420"/>
      </w:pPr>
      <w:r>
        <w:t>[34]  YAN Z, LI Y, WANG H, et al. Task-aware low-light image enhancement method for underground coal mine monitoring[J]. Sensors, 2026, 26(6): 1886.</w:t>
      </w:r>
    </w:p>
    <w:p>
      <w:r>
        <w:t>[35] CUI Y, ZAMIR S W, KHAN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