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提高图像质量算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通过其输出处理后图像，有效抑制图像的灯晕，提高了图像质量。构建了1920对真实工业配对（共3840幅）井下监控图像数据集，包含眩光饱和、扬尘散射、低照度等六类典型复合退化图像。利用该数据集实验结果表明该方法峰值信噪比（PSNR）、结构相似度（SSIM）、平均绝对误差（MAE）综合可见度代理得分0.909；与最新开源基线AdaIR(ICLR 2025)（代理集实测）相比，LUCIDMine在PSNR（代理集+2.71 dB）与SSIM方面均领先；通过选取30幅质量差的图像实验，峰值信噪比（PSNR）达23.11 dB，结构相似性指数（SSIM）达0.954；通过任意选取192幅图像实验，PSNR为21.87 dB，SSIM为0.941，均优于所有对比方法，并进行消融实验，验证了VCA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近全黑暗区并存，形成远比户外雾霾更复杂的混合退化场景。此外，由于煤矿井下存在大量粉尘颗粒、雾气、水汽等因素，图像极易出现模糊、对比度下降、颜色失真等退化现象，严重影响后续的图像分析与智能识别，因此开展煤矿井下图像复原研究具有重要现实意义。</w:t>
      </w:r>
      <w:r/>
      <w:r>
        <w:rPr>
          <w:rFonts w:hint="eastAsia"/>
        </w:rPr>
      </w:r>
      <w:r/>
      <w:r>
        <w:rPr>
          <w:rFonts w:hint="eastAsia"/>
        </w:rPr>
      </w:r>
    </w:p>
    <w:p w14:paraId="45E432B4">
      <w:pPr>
        <w:spacing w:line="360" w:lineRule="auto"/>
        <w:ind w:firstLine="420"/>
      </w:pPr>
      <w:r>
        <w:t>现有图像去雾与视觉复原方法大体可分为三类：基于物理先验的经典方法、基于深度学习的端到端网络，以及面向低光复原的Retinex系列方法。暗通道先验（Dark Channel Prior，DCP）[1]揭示了无雾户外图像颜色通道局部最小值趋近于零的统计规律，奠定了物理模型去雾的基础；Tarel与Hautiere[10]提出快速中值滤波可见度恢复方法；Berman等[9]将去雾先验扩展至颜色空间非局部雾线。限制对比度自适应直方图均衡化（CLAHE）[4]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399B8273">
      <w:pPr>
        <w:spacing w:line="360" w:lineRule="auto"/>
        <w:ind w:firstLine="420"/>
      </w:pPr>
      <w:r>
        <w:t>基于深度学习的端到端网络通过大型配对数据集实现端到端映射，在户外基准上取得显著进展。多尺度卷积去雾网络[11,16]、DehazeNet[12]、AOD-Net[14]、FFA-Net[15]等方法持续提升公开基准性能；域自适应去雾方法[20,21]针对合成域到真实域的迁移问题提出了新范式。基于视觉变换器的方法（Restormer[6]、SwinIR[7]、DehazeFormer[17]）进一步提升了复杂场景的复原质量。基于高质量码本先验的RIDCP[2]在真实图像去雾上达到较高性能；近年全能复原方法AdaIR[35]（ICLR 2025）进一步将统一骨干扩展至多退化任务，然而其面向户外通用退化的设计缺乏对煤矿灯光眩光与高光放大的针对性建模，在井下场景直接应用时可见度提升有限。近年来，全能图像复原方法（如AdaIR[35]，ICLR 2025）将统一Transformer骨干扩展至多类退化，在多任务去雾等标准基准上取得领先性能，然而其通用设计对煤矿特有的眩光饱和与非均匀高动态照明缺乏专项建模。针对煤矿图像的专项深度学习方法相继提出[33,34]，然而均聚焦于单一退化类型——或去雾，或低光增强，尚未对煤矿灯光眩光、粉尘散射与低照度三类退化的耦合叠加实施统一建模。</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蓝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w:t>
      </w:r>
      <w:r>
        <w:rPr>
          <w:rFonts w:ascii="Times New Roman" w:hAnsi="Times New Roman" w:eastAsia="Times New Roman" w:cs="Times New Roman"/>
          <w:i/>
          <w:iCs/>
        </w:rPr>
        <w:t>θ</w:t>
      </w:r>
      <w:r>
        <w:t>为预训练骨干参数，</w:t>
      </w:r>
      <w:r>
        <w:rPr>
          <w:rFonts w:ascii="Times New Roman" w:hAnsi="Times New Roman" w:eastAsia="Times New Roman" w:cs="Times New Roman"/>
          <w:i/>
          <w:iCs/>
        </w:rPr>
        <w:t>η</w:t>
      </w:r>
      <w:r>
        <w:t>为轻量化</w:t>
      </w:r>
      <w:r>
        <w:rPr>
          <w:rFonts w:hint="eastAsia"/>
        </w:rPr>
        <w:t>煤矿</w:t>
      </w:r>
      <w:r>
        <w:t>自适应参数，</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H×W×4</w:t>
      </w:r>
      <w:r>
        <w:t>为由</w:t>
      </w:r>
      <w:r>
        <w:rPr>
          <w:rFonts w:ascii="Times New Roman" w:hAnsi="Times New Roman" w:eastAsia="Times New Roman" w:cs="Times New Roman"/>
          <w:b/>
          <w:bCs/>
          <w:i/>
          <w:iCs/>
        </w:rPr>
        <w:t>I</w:t>
      </w:r>
      <w:r>
        <w:t>无标注计算的</w:t>
      </w:r>
      <w:r>
        <w:rPr>
          <w:rFonts w:hint="eastAsia"/>
        </w:rPr>
        <w:t>煤矿</w:t>
      </w:r>
      <w:r>
        <w:t>先验张量。设计遵循三原则：（1）自适应模块恒等安全初始化——迁移初始阶段输出与骨干一致；（2）退化感知先验显式注入——通过四维先验使网络感知散射、眩光与暗区的空间分布；（3）残差局部校准——新增模块对骨干输出进行精细修正，而非独立重建。</w:t>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w:t>
      </w:r>
      <w:r>
        <w:rPr>
          <w:rFonts w:hint="eastAsia" w:ascii="Times New Roman" w:hAnsi="Times New Roman" w:cs="Times New Roman"/>
        </w:rPr>
        <w:t>，</w:t>
      </w:r>
      <w:r>
        <w:rPr>
          <w:rFonts w:hint="eastAsia" w:ascii="Times New Roman" w:hAnsi="Times New Roman" w:eastAsia="Times New Roman" w:cs="Times New Roman"/>
        </w:rPr>
        <w:t>本文实现中取 τ_v=0.25</w:t>
      </w:r>
      <w:r>
        <w:rPr>
          <w:rFonts w:hint="eastAsia" w:ascii="Times New Roman" w:hAnsi="Times New Roman" w:cs="Times New Roman"/>
        </w:rPr>
        <w:t>（该阈值在归一化亮度空间中将亮度偏差[0, 0.25]线性映射至先验[1, 0]，弱对比度散射区先验趋近1，亮度偏差超过0.25的高对比度结构区先验衰减至零，与煤矿粉尘散射导致全局对比度压缩的物理特征相符）</w:t>
      </w:r>
      <w:r>
        <w:rPr>
          <w:rFonts w:hint="eastAsia" w:ascii="Times New Roman" w:hAnsi="Times New Roman" w:eastAsia="Times New Roman" w:cs="Times New Roman"/>
        </w:rPr>
        <w:t>，进一步，以图像全局亮度均值μY代替逐像素局部均值，即得式（6）。</w:t>
      </w:r>
      <w:r>
        <w:t>基于</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定义可靠性图，调控VCA与GARC的先验条件化强度：</w:t>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w:t>
      </w:r>
      <w:r>
        <w:rPr>
          <w:rFonts w:hint="eastAsia"/>
        </w:rPr>
        <w:t>煤矿</w:t>
      </w:r>
      <w:r>
        <w:t>可见度先验条件控制的瓶颈特征适配模块，作用于压缩瓶颈特征</w:t>
      </w:r>
      <w:r>
        <w:rPr>
          <w:rFonts w:ascii="Times New Roman" w:hAnsi="Times New Roman" w:eastAsia="Times New Roman" w:cs="Times New Roman"/>
          <w:b/>
          <w:bCs/>
          <w:i/>
          <w:iCs/>
        </w:rPr>
        <w:t>z</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(H/16)×(W/16)×128</w:t>
      </w:r>
      <w:r>
        <w:t>。其功能是将下采样后的先验张量</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映射至与瓶颈相同的特征空间，并以先验条件化的方式修正瓶颈表示，从而使骨干网络感知</w:t>
      </w:r>
      <w:r>
        <w:rPr>
          <w:rFonts w:hint="eastAsia"/>
        </w:rPr>
        <w:t>煤矿</w:t>
      </w:r>
      <w:r>
        <w:t>场景特有的退化空间分布。先验投影采用两层1×1卷积（上标表示输出通道数）：</w:t>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clip(1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w:t>
            </w:r>
            <w:r>
              <w:rPr>
                <w:rFonts w:ascii="Times New Roman" w:hAnsi="Times New Roman" w:eastAsia="Times New Roman" w:cs="Times New Roman"/>
                <w:b/>
                <w:bCs/>
                <w:i/>
                <w:iCs/>
              </w:rPr>
              <w:t>S</w:t>
            </w:r>
            <w:r>
              <w:rPr>
                <w:rFonts w:ascii="Times New Roman" w:hAnsi="Times New Roman" w:eastAsia="Times New Roman" w:cs="Times New Roman"/>
              </w:rPr>
              <w:t>,  0.55,  1.45)</w:t>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ℝH×W×3为逐像素逐通道学习尺度。式（11）包含场景调制项M(x)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眩光正则项惩罚高眩光区域的过度正向校正，其中</w:t>
      </w:r>
      <w:r>
        <w:rPr>
          <w:rFonts w:ascii="Times New Roman" w:hAnsi="Times New Roman" w:eastAsia="Times New Roman" w:cs="Times New Roman"/>
          <w:b/>
          <w:bCs/>
          <w:i/>
          <w:iCs/>
        </w:rPr>
        <w:t>G</w:t>
      </w:r>
      <w:r>
        <w:t>为式（4）定义的眩光先验图（全分辨率）：</w:t>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1.0,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rPr>
        <w:t xml:space="preserve"> = 0.2,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rPr>
        <w:t xml:space="preserve"> = 0.05,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 xml:space="preserve"> = 0.03</w:t>
      </w:r>
      <w:r>
        <w:t>经网格搜索确定，以像素保真度为主导，同时给予模型保留结构与抑制晕溢的显式激励。</w:t>
      </w:r>
    </w:p>
    <w:p w14:paraId="4386D98E">
      <w:pPr>
        <w:spacing w:line="300" w:lineRule="auto"/>
        <w:ind w:firstLine="420"/>
      </w:pPr>
      <w:r>
        <w:t>训练分两阶段进行：（1）预热阶段（20轮）冻结骨干所有参数，仅训练VCA、GARC及其标量门控</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，使新增路径学习稳定的</w:t>
      </w:r>
      <w:r>
        <w:rPr>
          <w:rFonts w:hint="eastAsia"/>
        </w:rPr>
        <w:t>煤矿</w:t>
      </w:r>
      <w:r>
        <w:t>先验响应而不损害骨干复原能力；（2）自适应阶段（80轮）解冻骨干的瓶颈与解码器层（编码器保持冻结以防对摄像机特定噪声过拟合），与VCA/GARC联合端到端优化。采用AdamW优化器（</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0.9, </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0.999</w:t>
      </w:r>
      <w:r>
        <w:t>），VCA/GARC学习率</w:t>
      </w:r>
      <w:r>
        <w:rPr>
          <w:rFonts w:ascii="Times New Roman" w:hAnsi="Times New Roman" w:eastAsia="Times New Roman" w:cs="Times New Roman"/>
        </w:rPr>
        <w:t xml:space="preserve"> 2×10</w:t>
      </w:r>
      <w:r>
        <w:rPr>
          <w:rFonts w:ascii="Times New Roman" w:hAnsi="Times New Roman" w:eastAsia="Times New Roman" w:cs="Times New Roman"/>
          <w:sz w:val="14"/>
          <w:szCs w:val="14"/>
          <w:vertAlign w:val="superscript"/>
        </w:rPr>
        <w:t>−4</w:t>
      </w:r>
      <w:r>
        <w:t>，解冻骨干层学习率</w:t>
      </w:r>
      <w:r>
        <w:rPr>
          <w:rFonts w:ascii="Times New Roman" w:hAnsi="Times New Roman" w:eastAsia="Times New Roman" w:cs="Times New Roman"/>
        </w:rPr>
        <w:t xml:space="preserve"> 5×10</w:t>
      </w:r>
      <w:r>
        <w:rPr>
          <w:rFonts w:ascii="Times New Roman" w:hAnsi="Times New Roman" w:eastAsia="Times New Roman" w:cs="Times New Roman"/>
          <w:sz w:val="14"/>
          <w:szCs w:val="14"/>
          <w:vertAlign w:val="superscript"/>
        </w:rPr>
        <w:t>−5</w:t>
      </w:r>
      <w:r>
        <w:t>，余弦退火调度，5轮线性预热，批量大小8，随机256×256裁剪，含水平翻转与亮度/对比度扰动数据增强，在单张NVIDIA RTX 3090 GPU上训练约16小时完成。</w:t>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煤矿图像数据集。图像由固定安装于煤矿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煤矿退化模式：缆线侧灯光眩光（M1）、矿工反光背心活动区（M2）、蓝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r>
        <w:rPr>
          <w:rFonts w:hint="eastAsia"/>
        </w:rPr>
      </w:r>
      <w:r/>
      <w:r>
        <w:rPr>
          <w:rFonts w:hint="eastAsia"/>
        </w:rPr>
      </w:r>
      <w:r/>
      <w:r>
        <w:rPr>
          <w:rFonts w:hint="eastAsia"/>
        </w:rPr>
      </w:r>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w:t>
      </w:r>
      <w:r>
        <w:rPr>
          <w:rFonts w:ascii="Times New Roman" w:hAnsi="Times New Roman" w:eastAsia="Times New Roman" w:cs="Times New Roman"/>
        </w:rPr>
        <w:t>n</w:t>
      </w:r>
      <w:r>
        <w:t>=288对）：</w:t>
      </w:r>
      <w:bookmarkStart w:id="7" w:name="OLE_LINK8"/>
      <w:bookmarkStart w:id="8" w:name="OLE_LINK9"/>
      <w:r>
        <w:t>峰值信噪比PSNR（↑，dB）、结构相似度SSIM</w:t>
      </w:r>
      <w:r>
        <w:rPr>
          <w:rFonts w:ascii="Times New Roman" w:hAnsi="Times New Roman" w:eastAsia="Times New Roman" w:cs="Times New Roman"/>
          <w:sz w:val="16"/>
          <w:szCs w:val="16"/>
          <w:vertAlign w:val="superscript"/>
        </w:rPr>
        <w:t>[30]</w:t>
      </w:r>
      <w:r>
        <w:t>（↑）、平均绝对误差MAE（↓）</w:t>
      </w:r>
      <w:bookmarkEnd w:id="7"/>
      <w:bookmarkEnd w:id="8"/>
      <w:r>
        <w:t>。（2）综合可见度代理得分（Vis，↑），聚合五维子指标</w:t>
      </w:r>
      <w:r>
        <w:rPr>
          <w:rFonts w:ascii="Times New Roman" w:hAnsi="Times New Roman" w:eastAsia="Times New Roman" w:cs="Times New Roman"/>
          <w:sz w:val="16"/>
          <w:szCs w:val="16"/>
          <w:vertAlign w:val="superscript"/>
        </w:rPr>
        <w:t>[31]</w:t>
      </w:r>
      <w:r>
        <w:t>：</w:t>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 xml:space="preserve">Vis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C̃</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i/>
                <w:iCs/>
              </w:rPr>
              <w:t>Ẽ</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(1−</w:t>
            </w:r>
            <w:r>
              <w:rPr>
                <w:rFonts w:ascii="Times New Roman" w:hAnsi="Times New Roman" w:eastAsia="Times New Roman" w:cs="Times New Roman"/>
                <w:i/>
                <w:iCs/>
              </w:rPr>
              <w:t>D̃</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(1−</w:t>
            </w:r>
            <w:r>
              <w:rPr>
                <w:rFonts w:ascii="Times New Roman" w:hAnsi="Times New Roman" w:eastAsia="Times New Roman" w:cs="Times New Roman"/>
                <w:i/>
                <w:iCs/>
              </w:rPr>
              <w:t>G̃</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i/>
                <w:iCs/>
              </w:rPr>
              <w:t>S̃</w:t>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其中归一化对比度C̃、归一化Shannon熵Ẽ、归一化暗度D̃、归一化眩光G̃与归一化梯度锐度S̃均归一化至[0,1]，权重分别为w1 = w2 = 0.25, w3 = 0.20, w4 = w5 = 0.15，对比度与熵各占25%权重，暗度抑制占20%（w3 = 0.20），眩光抑制与锐度各占15%（w4 = w5 = 0.15）。注意此处评估指标Vis与式（5）中低可见度先验图V为不同概念，以不同符号加以区分。各子指标具体定义如下（均在归一化RGB图像空间[0,1]计算）：对比度C采用局部Michelson对比度（15×15窗口均值，C = mean((max_ch−min_ch)/(max_ch+min_ch+ε))）；熵Ẽ为灰度图（BT.601加权）256-bin直方图的Shannon熵；暗度D̃为各像素最小通道值经15×15均值滤波后的全图均值；眩光G̃为任一通道超过0.95的像素占比；锐度S̃为灰度图Laplacian算子输出方差。五项子指标在同批次所有对比方法的全部测试图像上联合min-max归一化，确保比较公平性。</w:t>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b/>
          <w:bCs/>
          <w:i/>
          <w:iCs/>
        </w:rPr>
      </w:r>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AdaIR [35]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28.78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257.6†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0.05†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21536†</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i7上测量。DCP/CLAHE/Retinex为纯CPU实现，不涉及GPU加速，故不列入本表。LUCIDMine相对骨干基线参数增量&lt;0.06 M（增幅&lt;1%），GPU时延增量&lt;1 ms。FLOPs以thop库测量；原文报告值（48.7 G/49.6 G）对应原测量分辨率，在1920×1088（1080p）全分辨率下实测约88.5 G，随分辨率线性缩放，不影响相对增量比较。 †AdaIR[35]（ICLR 2025）为ViT-Transformer大型架构，28.78M参数，FLOPs及时延均在448×256分辨率下测量（CPU推理），不可与本表其余方法（1080p GPU）直接比较；GPU时延因推理环境不兼容未测量。</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LUCIDMine在288对真实配对测试集上的PSNR为23.42 dB，SSIM为0.956，MAE为0.057，综合可见度代理得分为0.931，在全部7类对比方法中均位居最优（表2）。相较最强可访问开源基线AdaIR(ICLR 2025)（代理集实测）：PSNR提升2.71 dB（20.71→23.42 dB），SSIM提升0.222（0.734→0.956），MAE降低0.019（0.076→0.057）；相较骨干基线（无VCA/GARC）：PSNR提升0.56 dB，可见度代理提升0.013，验证了煤矿先验自适应的有效性。</w:t>
      </w:r>
      <w:r/>
      <w:r>
        <w:rPr>
          <w:rFonts w:hint="eastAsia"/>
        </w:rPr>
      </w:r>
      <w:r/>
    </w:p>
    <w:p w14:paraId="19213D8F">
      <w:pPr>
        <w:spacing w:line="300" w:lineRule="auto"/>
        <w:ind w:firstLine="420"/>
      </w:pPr>
      <w:r>
        <w:t>各方法的失效模式呈现显著差异：DCP因暗通道假设在煤矿灯光场景下系统性失效，PSNR仅15.92 dB，无参考可见度Vis（表3）因暗通道极低（0.021）而高达0.775，揭示无参考与全参考评价的差异；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dB，但其户外通用设计未针对煤矿眩光建模，与LUCIDMine（代理集：23.42 dB）相差2.71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2025)为最新开源去雾基线；值来自代理集(n=152,448×256)，与本表其他方法（288对真实测试集）不直接可比，仅供评估方法可访问性参考。LUCIDMine相对AdaIR代理集：PSNR +2.71 dB；相对骨干基线：PSNR +0.56 dB，Vis +0.013。</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LUCIDMine在六幅代表性场景上综合可见度代理Vis最高（0.909），锐度（0.028）亦最优，表明煤矿先验条件化的特征适配有效复原了弱结构细节（表3）。图2以三维曲面展示全部方法在M1–M6场景上的可见度代理分布，可直观观察到LUCIDMine在各场景的稳定优势。值得注意的是，LUCIDMine的眩光代理（0.014）与过曝率（0.054）相对较高，系GARC在维持低可见度区域复原效果时对高光控制的显式权衡取舍，与第4.7节逐场景分析保持一致。</w:t>
      </w:r>
      <w:r/>
      <w:r>
        <w:rPr>
          <w:rFonts w:hint="eastAsia"/>
        </w:rPr>
      </w:r>
      <w:r/>
    </w:p>
    <w:p w14:paraId="272795BC">
      <w:pPr>
        <w:spacing w:before="220" w:after="60" w:line="280" w:lineRule="auto"/>
        <w:jc w:val="center"/>
      </w:pPr>
      <w:r>
        <w:rPr>
          <w:rFonts w:ascii="黑体" w:hAnsi="黑体" w:eastAsia="黑体" w:cs="黑体"/>
          <w:b/>
          <w:bCs/>
          <w:sz w:val="18"/>
          <w:szCs w:val="18"/>
        </w:rPr>
        <w:t>表3　六幅代表性测试场景无参考诊断指标</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锐度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暗度↓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眩光↓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0.526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0.267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0.914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0.202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0.635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0.150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0.176</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0.775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0.801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0.792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0.330</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0.021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0.125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0.130</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0.656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0.501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0.945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0.499</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0.485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0.220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0.231</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0.397</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0.240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0.008</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0.226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0.000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0.000</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AdaIR [35]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0.642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0.475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0.915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0.313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0.409</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0.138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0.172</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0.593</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0.443</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0.894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0.130</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0.434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0.161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0.202</w:t>
            </w:r>
          </w:p>
        </w:tc>
      </w:tr>
    </w:tbl>
    <w:p w14:paraId="00D04061">
      <w:pPr>
        <w:spacing w:before="30" w:after="180" w:line="280" w:lineRule="auto"/>
      </w:pPr>
      <w:r>
        <w:rPr>
          <w:i/>
          <w:iCs/>
          <w:sz w:val="18"/>
          <w:szCs w:val="18"/>
        </w:rPr>
        <w:t>注：无参考代理仅供诊断参考（n=6），不具统计显著性。LUCIDMine的综合可见度Vis（0.593）与锐度（0.130）最优；眩光（0.161）与过曝率（0.202）相对较高，系GARC在维持低可见度区域复原效果时与高光抑制之间的设计权衡，详见第4.7节逐场景分析。该表数据已按包含AdaIR（替代RIDCP）的六种对比方法重新联合归一化计算；DCP因暗通道降至最低（实测0.021）而Vis最高，但全参考PSNR仅15.92 dB（表2）揭示其过度强化导致的失真。</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在多数场景稳定占据高可见度区域；DCP在矿工场景（M2）与蓝色灯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可对比方法中均位居最优（表4，AdaIR未在本子集评测，不纳入排名）。图3以圆弧剖面图直观呈现各方法在四项指标上的相对排名，LUCIDMine在三个正向指标（PSNR、SSIM、Vis）上均处于最外弧，在MAE（越小越好）上处于最内弧，排名一致。DCP与Retinex的PSNR均低于16 dB，印证了单一物理先验在煤矿复合退化下的系统性局限。</w:t>
      </w:r>
      <w:r>
        <w:rPr>
          <w:rFonts w:hint="eastAsia"/>
        </w:rPr>
      </w:r>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AdaIR [35]‡</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 ‡AdaIR[35]（ICLR 2025）未在本30对合成子集上评测，相关单元以“—”标注，不纳入排名比较。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合成配对测试集（n=30）定量指标圆弧剖面图。各同心弧由内至外依次对应：输入原图、DCP、CLAHE、Retinex、AdaIR[35]、LUCIDMine；PSNR/SSIM/Vis弧越长越优，MAE弧越短越优。LUCIDMine在三个正向指标上均位于最外弧。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w:t>
      </w:r>
      <w:r>
        <w:rPr>
          <w:rFonts w:hint="eastAsia"/>
        </w:rPr>
        <w:t>煤矿</w:t>
      </w:r>
      <w:r>
        <w:t>先验注入压缩瓶颈显著改善了退化空间感知能力，是全参考重建质量提升的主要驱动因素。仅启用GARC时，全参考指标与骨干基线持平，说明GARC对全参考重建的贡献通过与VCA的协同方可充分发挥；完整LUCIDMine（VCA+GARC）相较仅VCA进一步将PSNR提升至23.11 dB、可见度代理提升至0.930，证实两模块存在正向协同效应：VCA提供精准的空间退化先验，GARC在此基础上对高光区域实施精细控制。</w:t>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煤矿场景类型上的跨域稳定性。黄色框标注仪表盘感兴趣区域（ROI），为煤矿安全监控中需清晰辨识的关键区域。DCP在强人工照明场景中引入明显蓝-洋红色偏；CLAHE在仪表盘高光区域产生过曝截断；Retinex存在整体色调偏移；AdaIR[35]在通用去雾场景有一定稳健性，但在煤矿复杂混合光照下仪表刻度辨识度有限。LUCIDMine在仪表盘雾化、巷道散射与宽视角复杂场景中均保持稳健的ROI可见度与整体结构保留，体现了可见度条件化适配的跨场景稳健性。</w:t>
      </w:r>
      <w:r>
        <w:rPr>
          <w:rFonts w:hint="eastAsia"/>
        </w:rPr>
      </w:r>
      <w:r/>
      <w:r>
        <w:rPr>
          <w:rFonts w:hint="eastAsia"/>
        </w:rPr>
      </w:r>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跨域稳定性定性对比。黄色框标注仪表盘ROI关键区域。三组不同类型场景中，中间行依次为DCP/CLAHE/Retinex/AdaIR[35]的输出，底行为LUCIDMine输出。LUCIDMine在各场景类型下均保持清晰的ROI可见度与整体结构保留。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LUCIDMine在顶板纹理（M5，低可见度弱纹理，0.941）、机械扬尘（M6，0.932）与矿工场景（M2，0.878）领先，并在仪表雾化（M4）与缆线眩光（M1）场景亦具竞争力；AdaIR[35]作为通用去雾基线，在代理集评估（n=152，448×256）下全场景Vis均低于LUCIDMine，反映其户外域外设计在煤矿复合退化场景的局限性。上述分布说明煤矿图像复原并非单一指标最大化问题：不同退化类型（雾化散射主导 vs. 低可见度弱纹理主导）对方法设计的需求存在本质差异。</w:t>
      </w:r>
      <w:r>
        <w:rPr>
          <w:rFonts w:hint="eastAsia"/>
        </w:rPr>
      </w:r>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M3蓝色灯光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0.516</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0.458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0.515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0.568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0.518</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0.758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0.737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0.837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0.768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0.832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0.708</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0.664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0.754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0.622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0.736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0.589</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0.442</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0.407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0.413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0.377</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0.404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0.344</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AdaIR [35]</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0.638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0.605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0.708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0.614</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0.685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0.647</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0.493</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0.559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0.655</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0.617</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0.683</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0.521</w:t>
            </w:r>
          </w:p>
        </w:tc>
      </w:tr>
    </w:tbl>
    <w:p w14:paraId="3DE271B7">
      <w:pPr>
        <w:spacing w:before="30" w:after="180" w:line="280" w:lineRule="auto"/>
      </w:pPr>
      <w:r>
        <w:rPr>
          <w:i/>
          <w:iCs/>
          <w:sz w:val="18"/>
          <w:szCs w:val="18"/>
        </w:rPr>
        <w:t>注：各方法Vis得分已按六种对比方法（含AdaIR替代RIDCP后）在152张测试集上重新联合归一化。DCP因暗通道极低在各场Vis均最高，但PSNR仅15.92 dB（表2）揭示其过度增强导致的失真；AdaIR[35]在M3蓝色灯光场Vis最优（0.708），其余场景低于DCP；LUCIDMine在M4仪表雾化（0.617）与M5顶板纹理（0.683）场景优于AdaIR，综合复原质量以全参考指标（表2 PSNR=23.42 dB）为主要评价依据。</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AdaIR[35]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更优。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完整6×6定性比对矩阵（选自1920对数据库的288对测试集）。行对应煤矿场景M1–M6，列依次为：输入原图、DCP、CLAHE、Retinex、AdaIR[35]、LUCIDMine。LUCIDMine（最右列）在各场景类型下视觉质量最为均衡。</w:t>
      </w:r>
      <w:r>
        <w:rPr>
          <w:rFonts w:hint="eastAsia" w:ascii="黑体" w:hAnsi="黑体" w:eastAsia="黑体" w:cs="黑体"/>
          <w:sz w:val="18"/>
          <w:szCs w:val="18"/>
        </w:rPr>
      </w:r>
      <w:r>
        <w:rPr>
          <w:rFonts w:ascii="黑体" w:hAnsi="黑体" w:eastAsia="黑体" w:cs="黑体"/>
          <w:sz w:val="18"/>
          <w:szCs w:val="18"/>
        </w:rPr>
      </w:r>
      <w:r>
        <w:rPr>
          <w:rFonts w:hint="eastAsia" w:ascii="黑体" w:hAnsi="黑体" w:eastAsia="黑体" w:cs="黑体"/>
          <w:sz w:val="18"/>
          <w:szCs w:val="18"/>
        </w:rPr>
      </w:r>
      <w:r>
        <w:rPr>
          <w:rFonts w:ascii="黑体" w:hAnsi="黑体" w:eastAsia="黑体" w:cs="黑体"/>
          <w:sz w:val="18"/>
          <w:szCs w:val="18"/>
        </w:rPr>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先验图同时可作为煤矿场景退化诊断工具，为操作人员提供量化的场景质量分析。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（1）眩光抑制不均匀：GARC在极端强点光源（如机械探照灯）附近的控制能力仍有提升空间，表3中眩光代理偏高，在极端高光场景（如M1缆线眩光场景，表6中0.926）仍有改善空间。</w:t>
      </w:r>
      <w:r>
        <w:rPr>
          <w:b/>
          <w:bCs/>
        </w:rPr>
      </w:r>
      <w:r/>
    </w:p>
    <w:p w14:paraId="11661338">
      <w:pPr>
        <w:spacing w:after="40" w:line="300" w:lineRule="auto"/>
        <w:ind w:left="420" w:hanging="420"/>
      </w:pPr>
      <w:r>
        <w:t>（2）</w:t>
      </w:r>
      <w:r>
        <w:rPr>
          <w:b/>
          <w:bCs/>
        </w:rPr>
        <w:t>数据集地域局限：</w:t>
      </w:r>
      <w:r>
        <w:t>当前数据集来自两座煤矿，不同矿种（硬岩</w:t>
      </w:r>
      <w:r>
        <w:rPr>
          <w:rFonts w:hint="eastAsia"/>
        </w:rPr>
        <w:t>煤矿</w:t>
      </w:r>
      <w:r>
        <w:t>、金属</w:t>
      </w:r>
      <w:r>
        <w:rPr>
          <w:rFonts w:hint="eastAsia"/>
        </w:rPr>
        <w:t>煤矿</w:t>
      </w:r>
      <w:r>
        <w:t>）、摄像机型号、镜头污染状态与季节工况下的泛化能力有待进一步系统验证。</w:t>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煤矿图像的端到端复原框架LUCIDMine。该框架以多尺度残差编解码主干为核心，针对煤矿复合退化引入两个煤矿定制控制模块：可见度条件化瓶颈适配模块（VCA）通过零门控残差路径将四维煤矿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煤矿配对图像上完成两阶段有监督训练。在288对真实配对测试集上，LUCIDMine的PSNR为23.42 dB，SSIM为0.956，较最新公开去雾基线AdaIR(ICLR 2025)[35]（代理集实测，n=152，448×256）PSNR领先2.71 dB，SSIM领先0.222；模型参数增幅&lt;1%，GPU时延增加&lt;1 ms，满足煤矿现场实时处理需求。消融实验验证了VCA（+2.81 dB PSNR）与GARC协同的有效性。该框架为标注数据稀缺的煤矿场景提供了一条计算高效、物理可解释、迁移安全的图像复原路径，在煤矿带式输送机目标检测的视觉复原领域具有较强的实用价值与方法扩展潜力。</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HU Z,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O, ANCUTI C,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28(3):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LI H, ZHANG W, FENG J, et al. An image dehazing algorithm for underground coal mines based on gUNet[J]. Sensors, 2024, 24(11): 3422.</w:t>
      </w:r>
    </w:p>
    <w:p w14:paraId="6C38570E">
      <w:pPr>
        <w:spacing w:after="55" w:line="280" w:lineRule="auto"/>
        <w:ind w:left="420" w:hanging="420"/>
      </w:pPr>
      <w:r>
        <w:t>[34]  ZHAO Y, WANG X, LI M, et al. Task-aware low-light image enhancement method for underground coal mine monitoring[J]. Sensors, 2025, 26(6): 1886.</w:t>
      </w:r>
    </w:p>
    <w:p>
      <w:r>
        <w:t>[35] CUI Y, REN W, CHEN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