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w:t>
      </w:r>
      <w:bookmarkStart w:id="2" w:name="OLE_LINK10"/>
      <w:r>
        <w:rPr>
          <w:rFonts w:hint="eastAsia"/>
        </w:rPr>
        <w:t>煤矿井下带式输送机运行环境恶劣，图像受到粉尘、光照不均匀、眩光、照度低和色偏等因素影响，图像质量差，对带式输送机视频监控带来挑战。现有提高图像质量算法，难以满足煤矿井下带式输送机运行环境下视频监控要求。本文提出了基于</w:t>
      </w:r>
      <w:r>
        <w:t>可见度</w:t>
      </w:r>
      <w:r>
        <w:rPr>
          <w:rFonts w:hint="eastAsia"/>
        </w:rPr>
        <w:t>适配和</w:t>
      </w:r>
      <w:r>
        <w:t>眩光感知残差校准</w:t>
      </w:r>
      <w:r>
        <w:rPr>
          <w:rFonts w:hint="eastAsia"/>
        </w:rPr>
        <w:t>的提高煤矿井下带式输送机运行环境图像质量方法，首次将眩光饱和、粉尘散射与低照度三类耦合退化纳入统一物理先验框架，以多尺度残差编解码结构为基本架构，嵌入了</w:t>
      </w:r>
      <w:r>
        <w:t>可见度</w:t>
      </w:r>
      <w:r>
        <w:rPr>
          <w:rFonts w:hint="eastAsia"/>
        </w:rPr>
        <w:t>适配器和</w:t>
      </w:r>
      <w:bookmarkStart w:id="3" w:name="OLE_LINK3"/>
      <w:bookmarkStart w:id="4" w:name="OLE_LINK4"/>
      <w:r>
        <w:t>眩光感知残差校准</w:t>
      </w:r>
      <w:bookmarkEnd w:id="3"/>
      <w:bookmarkEnd w:id="4"/>
      <w:r>
        <w:rPr>
          <w:rFonts w:hint="eastAsia"/>
        </w:rPr>
        <w:t>器，</w:t>
      </w:r>
      <w:r>
        <w:t>可见度</w:t>
      </w:r>
      <w:r>
        <w:rPr>
          <w:rFonts w:hint="eastAsia"/>
        </w:rPr>
        <w:t>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w:t>
      </w:r>
      <w:r>
        <w:rPr>
          <w:rFonts w:hint="eastAsia"/>
        </w:rPr>
        <w:t>幅）煤矿井下带式输送机运行环境图像数据集</w:t>
      </w:r>
      <w:r>
        <w:rPr>
          <w:rFonts w:hint="eastAsia"/>
        </w:rPr>
        <w:t>，包含眩光饱和、扬尘散射、低照度等六类典型复合退化</w:t>
      </w:r>
      <w:r>
        <w:rPr>
          <w:rFonts w:hint="eastAsia"/>
        </w:rPr>
        <w:t>图像。利用该数据集实验结果表明该方法峰值信噪比（PSNR）、结构相似度（SSIM）、平均绝对误差（MAE）</w:t>
      </w:r>
      <w:r>
        <w:rPr>
          <w:rFonts w:hint="eastAsia"/>
        </w:rPr>
        <w:t>综合评价得分0.909，优于公开RIDCP （0.899）</w:t>
      </w:r>
      <w:r>
        <w:rPr>
          <w:rFonts w:hint="eastAsia"/>
        </w:rPr>
        <w:t>；通过选取30</w:t>
      </w:r>
      <w:r>
        <w:rPr>
          <w:rFonts w:hint="eastAsia"/>
        </w:rPr>
        <w:t>幅质量差的图像实验，峰值信噪比（PSNR）达23.11 dB，结构相似性指数（SSIM）达0.954；</w:t>
      </w:r>
      <w:r>
        <w:rPr>
          <w:rFonts w:hint="eastAsia"/>
        </w:rPr>
        <w:t>通过任意选取192</w:t>
      </w:r>
      <w:r>
        <w:rPr>
          <w:rFonts w:hint="eastAsia"/>
        </w:rPr>
        <w:t>幅图像实验，PSNR为21.87 dB，SSIM为0.941，均优于所有对比方法</w:t>
      </w:r>
      <w:r>
        <w:rPr>
          <w:rFonts w:hint="eastAsia"/>
        </w:rPr>
        <w:t>，并进行消融实验</w:t>
      </w:r>
      <w:r>
        <w:rPr>
          <w:rFonts w:hint="eastAsia"/>
        </w:rPr>
        <w:t>，验证了VCA 与 GARC 各自的贡献，以及二者协同的性能优势。</w:t>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w:t>
      </w:r>
      <w:r>
        <w:t>视觉系统广泛应用于远程巡检、安全监督、自主导航及设备状态监测等场景。在</w:t>
      </w:r>
      <w:r>
        <w:rPr>
          <w:rFonts w:hint="eastAsia"/>
        </w:rPr>
        <w:t>煤矿井下</w:t>
      </w:r>
      <w:r>
        <w:t>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w:t>
      </w:r>
      <w:r>
        <w:rPr>
          <w:rFonts w:hint="eastAsia"/>
        </w:rPr>
        <w:t>此外,由于煤矿井下存在大量粉尘颗粒、雾气、水汽等因素,图像极易出现模糊、对比度下降、颜色失真等退化现象,严重影响后续的图像分析与智能识别.因此,开展煤矿井下图像增强研究具有重要现实意义。</w:t>
      </w:r>
    </w:p>
    <w:p w14:paraId="45E432B4">
      <w:pPr>
        <w:spacing w:line="360" w:lineRule="auto"/>
        <w:ind w:firstLine="420"/>
      </w:pPr>
      <w:r>
        <w:t>现有图像增强方法大体可分为三类：基于物理先验的经典方法、基于深度学习的端到端网络，以及面向低光增强的Retinex系列方法。暗通道先验（Dark Channel Prior，DCP）</w:t>
      </w:r>
      <w:r>
        <w:rPr>
          <w:rFonts w:ascii="Times New Roman" w:hAnsi="Times New Roman" w:eastAsia="Times New Roman" w:cs="Times New Roman"/>
          <w:sz w:val="19"/>
          <w:szCs w:val="19"/>
          <w:vertAlign w:val="superscript"/>
        </w:rPr>
        <w:t>[1]</w:t>
      </w:r>
      <w:r>
        <w:t>揭示了无雾户外图像颜色通道局部最小值趋近于零的统计规律，奠定了物理模型去雾的基础；Tarel与Hautiere</w:t>
      </w:r>
      <w:r>
        <w:rPr>
          <w:rFonts w:ascii="Times New Roman" w:hAnsi="Times New Roman" w:eastAsia="Times New Roman" w:cs="Times New Roman"/>
          <w:sz w:val="19"/>
          <w:szCs w:val="19"/>
          <w:vertAlign w:val="superscript"/>
        </w:rPr>
        <w:t>[10]</w:t>
      </w:r>
      <w:r>
        <w:t>提出快速中值滤波可见度恢复方法；Berman等</w:t>
      </w:r>
      <w:r>
        <w:rPr>
          <w:rFonts w:ascii="Times New Roman" w:hAnsi="Times New Roman" w:eastAsia="Times New Roman" w:cs="Times New Roman"/>
          <w:sz w:val="19"/>
          <w:szCs w:val="19"/>
          <w:vertAlign w:val="superscript"/>
        </w:rPr>
        <w:t>[9]</w:t>
      </w:r>
      <w:r>
        <w:t>将去雾先验扩展至颜色空间非局部雾线。限制对比度自适应直方图均衡化（CLAHE）</w:t>
      </w:r>
      <w:r>
        <w:rPr>
          <w:rFonts w:ascii="Times New Roman" w:hAnsi="Times New Roman" w:eastAsia="Times New Roman" w:cs="Times New Roman"/>
          <w:sz w:val="19"/>
          <w:szCs w:val="19"/>
          <w:vertAlign w:val="superscript"/>
        </w:rPr>
        <w:t>[4]</w:t>
      </w:r>
      <w:r>
        <w:t>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p>
    <w:p w14:paraId="399B8273">
      <w:pPr>
        <w:spacing w:line="360" w:lineRule="auto"/>
        <w:ind w:firstLine="420"/>
      </w:pPr>
      <w:r>
        <w:t>基于深度学习的端到端网络通过大型配对数据集实现端到端映射，在户外基准上取得显著进展。多尺度卷积去雾网络</w:t>
      </w:r>
      <w:r>
        <w:rPr>
          <w:rFonts w:ascii="Times New Roman" w:hAnsi="Times New Roman" w:eastAsia="Times New Roman" w:cs="Times New Roman"/>
          <w:sz w:val="19"/>
          <w:szCs w:val="19"/>
          <w:vertAlign w:val="superscript"/>
        </w:rPr>
        <w:t>[11,16]</w:t>
      </w:r>
      <w:r>
        <w:t>、DehazeNet</w:t>
      </w:r>
      <w:r>
        <w:rPr>
          <w:rFonts w:ascii="Times New Roman" w:hAnsi="Times New Roman" w:eastAsia="Times New Roman" w:cs="Times New Roman"/>
          <w:sz w:val="19"/>
          <w:szCs w:val="19"/>
          <w:vertAlign w:val="superscript"/>
        </w:rPr>
        <w:t>[12]</w:t>
      </w:r>
      <w:r>
        <w:t>、AOD-Net</w:t>
      </w:r>
      <w:r>
        <w:rPr>
          <w:rFonts w:ascii="Times New Roman" w:hAnsi="Times New Roman" w:eastAsia="Times New Roman" w:cs="Times New Roman"/>
          <w:sz w:val="19"/>
          <w:szCs w:val="19"/>
          <w:vertAlign w:val="superscript"/>
        </w:rPr>
        <w:t>[14]</w:t>
      </w:r>
      <w:r>
        <w:t>、FFA-Net</w:t>
      </w:r>
      <w:r>
        <w:rPr>
          <w:rFonts w:ascii="Times New Roman" w:hAnsi="Times New Roman" w:eastAsia="Times New Roman" w:cs="Times New Roman"/>
          <w:sz w:val="19"/>
          <w:szCs w:val="19"/>
          <w:vertAlign w:val="superscript"/>
        </w:rPr>
        <w:t>[15]</w:t>
      </w:r>
      <w:r>
        <w:t>等方法持续提升公开基准性能；域自适应去雾方法</w:t>
      </w:r>
      <w:r>
        <w:rPr>
          <w:rFonts w:ascii="Times New Roman" w:hAnsi="Times New Roman" w:eastAsia="Times New Roman" w:cs="Times New Roman"/>
          <w:sz w:val="19"/>
          <w:szCs w:val="19"/>
          <w:vertAlign w:val="superscript"/>
        </w:rPr>
        <w:t>[20,21]</w:t>
      </w:r>
      <w:r>
        <w:t>针对合成域到真实域的迁移问题提出了新范式。基于视觉变换器的方法（Restormer</w:t>
      </w:r>
      <w:r>
        <w:rPr>
          <w:rFonts w:ascii="Times New Roman" w:hAnsi="Times New Roman" w:eastAsia="Times New Roman" w:cs="Times New Roman"/>
          <w:sz w:val="19"/>
          <w:szCs w:val="19"/>
          <w:vertAlign w:val="superscript"/>
        </w:rPr>
        <w:t>[6]</w:t>
      </w:r>
      <w:r>
        <w:t>、SwinIR</w:t>
      </w:r>
      <w:r>
        <w:rPr>
          <w:rFonts w:ascii="Times New Roman" w:hAnsi="Times New Roman" w:eastAsia="Times New Roman" w:cs="Times New Roman"/>
          <w:sz w:val="19"/>
          <w:szCs w:val="19"/>
          <w:vertAlign w:val="superscript"/>
        </w:rPr>
        <w:t>[7]</w:t>
      </w:r>
      <w:r>
        <w:t>、DehazeFormer</w:t>
      </w:r>
      <w:r>
        <w:rPr>
          <w:rFonts w:ascii="Times New Roman" w:hAnsi="Times New Roman" w:eastAsia="Times New Roman" w:cs="Times New Roman"/>
          <w:sz w:val="19"/>
          <w:szCs w:val="19"/>
          <w:vertAlign w:val="superscript"/>
        </w:rPr>
        <w:t>[17]</w:t>
      </w:r>
      <w:r>
        <w:t>）进一步提升了复杂场景的复原质量。基于高质量码本先验的RIDCP</w:t>
      </w:r>
      <w:r>
        <w:rPr>
          <w:rFonts w:ascii="Times New Roman" w:hAnsi="Times New Roman" w:eastAsia="Times New Roman" w:cs="Times New Roman"/>
          <w:sz w:val="19"/>
          <w:szCs w:val="19"/>
          <w:vertAlign w:val="superscript"/>
        </w:rPr>
        <w:t>[2]</w:t>
      </w:r>
      <w:r>
        <w:t>在真实图像去雾上达到领先性能，然而其设计面向户外雾霾场景，缺乏对煤矿灯光眩光与高光放大的针对性建模，在井下场景直接应用时可见度提升有限。近年来，针对煤矿图像的专项深度学习方法相继提出[33,34]，然而均聚焦于单一退化类型——或去雾，或低光增强，尚未对煤矿灯光眩光、粉尘散射与低照度三类退化的耦合叠加实施统一建模。</w:t>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w:t>
      </w:r>
      <w:r>
        <w:rPr>
          <w:rFonts w:hint="eastAsia"/>
        </w:rPr>
        <w:t>煤矿</w:t>
      </w:r>
      <w:r>
        <w:t>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xml:space="preserve">, </w:t>
      </w:r>
      <w:r>
        <w:rPr>
          <w:rFonts w:ascii="Times New Roman" w:hAnsi="Times New Roman" w:eastAsia="Times New Roman" w:cs="Times New Roman"/>
          <w:b/>
          <w:bCs/>
          <w:i/>
          <w:iCs/>
        </w:rPr>
        <w:t>D</w:t>
      </w:r>
      <w:r>
        <w:rPr>
          <w:rFonts w:ascii="Times New Roman" w:hAnsi="Times New Roman" w:eastAsia="Times New Roman" w:cs="Times New Roman"/>
        </w:rPr>
        <w:t xml:space="preserve">, </w:t>
      </w:r>
      <w:r>
        <w:rPr>
          <w:rFonts w:ascii="Times New Roman" w:hAnsi="Times New Roman" w:eastAsia="Times New Roman" w:cs="Times New Roman"/>
          <w:b/>
          <w:bCs/>
          <w:i/>
          <w:iCs/>
        </w:rPr>
        <w:t>G</w:t>
      </w:r>
      <w:r>
        <w:rPr>
          <w:rFonts w:ascii="Times New Roman" w:hAnsi="Times New Roman" w:eastAsia="Times New Roman" w:cs="Times New Roman"/>
        </w:rPr>
        <w:t xml:space="preserve">, </w:t>
      </w:r>
      <w:r>
        <w:rPr>
          <w:rFonts w:ascii="Times New Roman" w:hAnsi="Times New Roman" w:eastAsia="Times New Roman" w:cs="Times New Roman"/>
          <w:b/>
          <w:bCs/>
          <w:i/>
          <w:iCs/>
        </w:rPr>
        <w:t>V</w:t>
      </w:r>
      <w:r>
        <w:rPr>
          <w:rFonts w:ascii="Times New Roman" w:hAnsi="Times New Roman" w:eastAsia="Times New Roman" w:cs="Times New Roman"/>
        </w:rPr>
        <w:t>]</w:t>
      </w:r>
      <w:r>
        <w:t>，在反归一化后的RGB图像空间中计算（式（2）～式（6））。</w:t>
      </w:r>
      <w:r>
        <w:rPr>
          <w:rFonts w:ascii="Times New Roman" w:hAnsi="Times New Roman" w:eastAsia="Times New Roman" w:cs="Times New Roman"/>
          <w:b/>
          <w:bCs/>
          <w:i/>
          <w:iCs/>
        </w:rPr>
        <w:t>Y</w:t>
      </w:r>
      <w:r>
        <w:t>为BT.601标准亮度图，描述局部曝光；</w:t>
      </w:r>
      <w:r>
        <w:rPr>
          <w:rFonts w:ascii="Times New Roman" w:hAnsi="Times New Roman" w:eastAsia="Times New Roman" w:cs="Times New Roman"/>
          <w:b/>
          <w:bCs/>
          <w:i/>
          <w:iCs/>
        </w:rPr>
        <w:t>D</w:t>
      </w:r>
      <w:r>
        <w:t>为暗通道图，标记散射主导或阴影区域；</w:t>
      </w:r>
      <w:r>
        <w:rPr>
          <w:rFonts w:ascii="Times New Roman" w:hAnsi="Times New Roman" w:eastAsia="Times New Roman" w:cs="Times New Roman"/>
          <w:b/>
          <w:bCs/>
          <w:i/>
          <w:iCs/>
        </w:rPr>
        <w:t>G</w:t>
      </w:r>
      <w:r>
        <w:t>为眩光图，捕捉灯光与反射体附近的通道不均衡（式（4）中左侧G为眩光先验图，式右侧R、G、B为输入图像的红、绿、蓝通道值）；</w:t>
      </w:r>
      <w:r>
        <w:rPr>
          <w:rFonts w:ascii="Times New Roman" w:hAnsi="Times New Roman" w:eastAsia="Times New Roman" w:cs="Times New Roman"/>
          <w:b/>
          <w:bCs/>
          <w:i/>
          <w:iCs/>
        </w:rPr>
        <w:t>V</w:t>
      </w:r>
      <w:r>
        <w:t>为低可见度图，估计弱纹理区域的对比度缺失：</w:t>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为零初始化可学习门控，</w:t>
      </w:r>
      <w:r>
        <w:rPr>
          <w:rFonts w:ascii="Times New Roman" w:hAnsi="Times New Roman" w:eastAsia="Times New Roman" w:cs="Times New Roman"/>
          <w:b/>
          <w:bCs/>
          <w:i/>
          <w:iCs/>
        </w:rPr>
        <w:t>S</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为逐像素逐通道学习尺度。式（11）的截断范围</w:t>
      </w:r>
      <w:r>
        <w:rPr>
          <w:rFonts w:ascii="Times New Roman" w:hAnsi="Times New Roman" w:eastAsia="Times New Roman" w:cs="Times New Roman"/>
        </w:rPr>
        <w:t>[0.55, 1.45] = [1−0.45, 1+0.45]</w:t>
      </w:r>
      <w:r>
        <w:t>构成关于1.0对称的约束：允许最大45%的残差衰减（抑制眩光过冲）或45%的残差放大（强化低可见度区域），实现在二者之间的平衡控制。</w:t>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w:t>
      </w:r>
      <w:r>
        <w:rPr>
          <w:rFonts w:hint="eastAsia"/>
        </w:rPr>
        <w:t>煤矿</w:t>
      </w:r>
      <w:r>
        <w:t>图像数据集。图像由固定安装于</w:t>
      </w:r>
      <w:r>
        <w:rPr>
          <w:rFonts w:hint="eastAsia"/>
        </w:rPr>
        <w:t>煤矿</w:t>
      </w:r>
      <w:r>
        <w:t>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w:t>
      </w:r>
      <w:r>
        <w:rPr>
          <w:rFonts w:hint="eastAsia"/>
        </w:rPr>
        <w:t>煤矿</w:t>
      </w:r>
      <w:r>
        <w:t>退化模式：缆线侧灯光眩光（M1）、矿工反光背心活动区（M2）、绿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p>
    <w:p w14:paraId="1AADC222">
      <w:pPr>
        <w:pStyle w:val="3"/>
        <w:spacing w:line="300" w:lineRule="auto"/>
      </w:pPr>
      <w:r>
        <w:rPr>
          <w:sz w:val="21"/>
          <w:szCs w:val="21"/>
        </w:rPr>
        <w:t>3.2　对比方法</w:t>
      </w:r>
    </w:p>
    <w:p w14:paraId="0DFBA05E">
      <w:pPr>
        <w:spacing w:line="300" w:lineRule="auto"/>
        <w:ind w:firstLine="420"/>
      </w:pPr>
      <w:r>
        <w:t>选取以下七类方法进行系统比较：（1）</w:t>
      </w:r>
      <w:r>
        <w:rPr>
          <w:b/>
          <w:bCs/>
        </w:rPr>
        <w:t>输入原图</w:t>
      </w:r>
      <w:r>
        <w:t>：未处理的退化帧，作为退化基准；（2）</w:t>
      </w:r>
      <w:r>
        <w:rPr>
          <w:rFonts w:ascii="Times New Roman" w:hAnsi="Times New Roman" w:eastAsia="Times New Roman" w:cs="Times New Roman"/>
        </w:rPr>
        <w:t>DCP</w:t>
      </w:r>
      <w:r>
        <w:rPr>
          <w:rFonts w:ascii="Times New Roman" w:hAnsi="Times New Roman" w:eastAsia="Times New Roman" w:cs="Times New Roman"/>
          <w:sz w:val="16"/>
          <w:szCs w:val="16"/>
          <w:vertAlign w:val="superscript"/>
        </w:rPr>
        <w:t>[1]</w:t>
      </w:r>
      <w:r>
        <w:t>：暗通道先验（局部窗口15×15，引导滤波透射率精炼，透射率下限0.1）；（3）</w:t>
      </w:r>
      <w:r>
        <w:rPr>
          <w:rFonts w:ascii="Times New Roman" w:hAnsi="Times New Roman" w:eastAsia="Times New Roman" w:cs="Times New Roman"/>
        </w:rPr>
        <w:t>CLAHE</w:t>
      </w:r>
      <w:r>
        <w:rPr>
          <w:rFonts w:ascii="Times New Roman" w:hAnsi="Times New Roman" w:eastAsia="Times New Roman" w:cs="Times New Roman"/>
          <w:sz w:val="16"/>
          <w:szCs w:val="16"/>
          <w:vertAlign w:val="superscript"/>
        </w:rPr>
        <w:t>[4]</w:t>
      </w:r>
      <w:r>
        <w:t>：对比度受限自适应直方图均衡（逐通道，裁剪限制</w:t>
      </w:r>
      <w:r>
        <w:rPr>
          <w:rFonts w:ascii="Times New Roman" w:hAnsi="Times New Roman" w:eastAsia="Times New Roman" w:cs="Times New Roman"/>
        </w:rPr>
        <w:t>clipLimit = 2.0</w:t>
      </w:r>
      <w:r>
        <w:t>，分块大小8×8）；（4）</w:t>
      </w:r>
      <w:r>
        <w:rPr>
          <w:rFonts w:ascii="Times New Roman" w:hAnsi="Times New Roman" w:eastAsia="Times New Roman" w:cs="Times New Roman"/>
        </w:rPr>
        <w:t>Retinex</w:t>
      </w:r>
      <w:r>
        <w:rPr>
          <w:rFonts w:ascii="Times New Roman" w:hAnsi="Times New Roman" w:eastAsia="Times New Roman" w:cs="Times New Roman"/>
          <w:sz w:val="16"/>
          <w:szCs w:val="16"/>
          <w:vertAlign w:val="superscript"/>
        </w:rPr>
        <w:t>[3]</w:t>
      </w:r>
      <w:r>
        <w:t>：多尺度Retinex（高斯尺度15/80/250像素，颜色恢复因子125）；（5）</w:t>
      </w:r>
      <w:r>
        <w:rPr>
          <w:rFonts w:ascii="Times New Roman" w:hAnsi="Times New Roman" w:eastAsia="Times New Roman" w:cs="Times New Roman"/>
        </w:rPr>
        <w:t>RIDCP</w:t>
      </w:r>
      <w:r>
        <w:rPr>
          <w:rFonts w:ascii="Times New Roman" w:hAnsi="Times New Roman" w:eastAsia="Times New Roman" w:cs="Times New Roman"/>
          <w:sz w:val="16"/>
          <w:szCs w:val="16"/>
          <w:vertAlign w:val="superscript"/>
        </w:rPr>
        <w:t>[2]</w:t>
      </w:r>
      <w:r>
        <w:t>：码本先验真实图像去雾，使用官方公开权重，不进行</w:t>
      </w:r>
      <w:r>
        <w:rPr>
          <w:rFonts w:hint="eastAsia"/>
        </w:rPr>
        <w:t>煤矿</w:t>
      </w:r>
      <w:r>
        <w:t>域微调，作为最强公开神经网络基线；（6）</w:t>
      </w:r>
      <w:r>
        <w:rPr>
          <w:b/>
          <w:bCs/>
        </w:rPr>
        <w:t>骨干基线（Foundation）</w:t>
      </w:r>
      <w:r>
        <w:t>：预训练骨干网络不加VCA/GARC的零样本应用，作为内部对照，用于量化</w:t>
      </w:r>
      <w:r>
        <w:rPr>
          <w:rFonts w:hint="eastAsia"/>
        </w:rPr>
        <w:t>煤矿</w:t>
      </w:r>
      <w:r>
        <w:t>先验适配的净增益（非独立竞争方法）；（7）</w:t>
      </w:r>
      <w:r>
        <w:rPr>
          <w:rFonts w:ascii="Times New Roman" w:hAnsi="Times New Roman" w:eastAsia="Times New Roman" w:cs="Times New Roman"/>
          <w:b/>
          <w:bCs/>
        </w:rPr>
        <w:t>LUCIDMine</w:t>
      </w:r>
      <w:r>
        <w:t>（本文）：在1920对</w:t>
      </w:r>
      <w:r>
        <w:rPr>
          <w:rFonts w:hint="eastAsia"/>
        </w:rPr>
        <w:t>煤矿</w:t>
      </w:r>
      <w:r>
        <w:t>图像上完成两阶段自适应训练的完整框架。</w:t>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 xml:space="preserve">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G（FLOPs均在[XXX×YYY]分辨率单帧输入下用thop计算，作者需补充具体分辨率），GPU推理时延由36.5 </w:t>
      </w:r>
      <w:r>
        <w:rPr>
          <w:rFonts w:ascii="Times New Roman" w:hAnsi="Times New Roman" w:eastAsia="Times New Roman" w:cs="Times New Roman"/>
        </w:rPr>
        <w:t>ms</w:t>
      </w:r>
      <w:r>
        <w:t xml:space="preserve">增至37.3 </w:t>
      </w:r>
      <w:r>
        <w:rPr>
          <w:rFonts w:ascii="Times New Roman" w:hAnsi="Times New Roman" w:eastAsia="Times New Roman" w:cs="Times New Roman"/>
        </w:rPr>
        <w:t>ms</w:t>
      </w:r>
      <w:r>
        <w:t xml:space="preserve">（增量&lt;1 </w:t>
      </w:r>
      <w:r>
        <w:rPr>
          <w:rFonts w:ascii="Times New Roman" w:hAnsi="Times New Roman" w:eastAsia="Times New Roman" w:cs="Times New Roman"/>
        </w:rPr>
        <w:t>ms</w:t>
      </w:r>
      <w:r>
        <w:t>），在NVIDIA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RIDCP [2]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9.86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72.4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18.6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53.8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1840</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dB，SSIM为0.956，MAE为0.057，综合可见度代理得分为0.931，在全部7类对比方法中均位居最优（表2）。相较最强公开基线RIDCP：PSNR提升2.68 dB（20.74→23.42 dB），SSIM提升0.031（0.925→0.956），MAE降低0.027（0.084→0.057）；相较骨干基线（无VCA/GARC）：PSNR提升0.56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w:t>
      </w:r>
      <w:r>
        <w:rPr>
          <w:rFonts w:hint="eastAsia"/>
        </w:rPr>
        <w:t>煤矿</w:t>
      </w:r>
      <w:r>
        <w:t>灯光场景下系统性失效，PSNR仅15.92 dB，暗度代理高达0.409（表3），可见度得分跌至0.812；CLAHE的SSIM最低（0.805），表明其局部直方图修正与真实参考存在较大结构偏差；Retinex的SSIM仅0.681，色调调整引入系统性偏差；RIDCP作为最强公开基线达到20.74 dB，但其未针对</w:t>
      </w:r>
      <w:r>
        <w:rPr>
          <w:rFonts w:hint="eastAsia"/>
        </w:rPr>
        <w:t>煤矿</w:t>
      </w:r>
      <w:r>
        <w:t>眩光建模，与LUCIDMine仍有2.68 dB差距。</w:t>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RIDCP [2]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0.925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0.084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0.903</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注：↑表示越大越好，↓表示越小越好。骨干基线为内部对照，非独立竞争方法。LUCIDMine相对RIDCP：PSNR +2.68 dB，SSIM +0.031，MAE −0.027；相对骨干基线：PSNR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w:t>
      </w:r>
      <w:r>
        <w:t>在六幅代表性场景上综合可见度代理Vis最高（0.909），锐度（0.028）亦最优，表明</w:t>
      </w:r>
      <w:r>
        <w:rPr>
          <w:rFonts w:hint="eastAsia"/>
        </w:rPr>
        <w:t>煤矿</w:t>
      </w:r>
      <w:r>
        <w:t>先验条件化的特征适配有效增强了弱结构细节（表3）。图2以三维曲面展示全部方法在M1–M6场景上的可见度代理分布，可直观观察到LUCIDMine在各场景的稳定优势。值得注意的是，LUCIDMine的眩光代理（0.014）与过曝率（0.054）略高于RIDCP（0.012，0.036），这是GARC在维持低可见度区域增强效果时对高光控制的显式权衡取舍，与第4.7节逐场景分析保持一致。</w:t>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0.896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0.190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0.894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0.077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0.008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0.047</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0.804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0.200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0.844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0.016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0.020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0.039</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0.894</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0.312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0.983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0.026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0.210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0.001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0.169</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0.882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0.153</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0.852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0.036</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0.044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0.033</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RIDCP [2]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0.899</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0.187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0.025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0.137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0.012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0.036</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0.909</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0.196</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0.884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0.028</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0.091</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0.014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0.054</w:t>
            </w:r>
          </w:p>
        </w:tc>
      </w:tr>
    </w:tbl>
    <w:p w14:paraId="00D04061">
      <w:pPr>
        <w:spacing w:before="30" w:after="180" w:line="280" w:lineRule="auto"/>
      </w:pPr>
      <w:r>
        <w:rPr>
          <w:i/>
          <w:iCs/>
          <w:sz w:val="18"/>
          <w:szCs w:val="18"/>
        </w:rPr>
        <w:t>注：无参考代理仅供诊断参考（n=6），不具统计显著性。LUCIDMine的综合可见度Vis（0.909）与锐度（0.028）最优；眩光（0.014）与过曝率（0.054）略高于RIDCP，系GARC在维持低可见度区域增强效果时与高光抑制之间的设计权衡，详见第4.7节逐场景分析。</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与RIDCP稳定占据高可见度区域；DCP在矿工场景（M2）与绿色眩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RIDCP [2]</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20.26±1.08</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0.927±0.025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0.083±0.012</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0.924±0.027</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合成配对测试集（n=30）定量指标圆弧剖面图。各同心弧由内至外依次对应：输入原图、DCP、CLAHE、Retinex、RIDCP、LUCIDMine；PSNR/SSIM/Vis弧越长越优，MAE弧越短越优。LUCIDMine在三个正向指标上均位于最外弧。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w:t>
      </w:r>
      <w:r>
        <w:rPr>
          <w:rFonts w:hint="eastAsia"/>
        </w:rPr>
        <w:t>煤矿</w:t>
      </w:r>
      <w:r>
        <w:t>场景类型上的跨域稳定性。黄色框标注仪表盘感兴趣区域（ROI），为</w:t>
      </w:r>
      <w:r>
        <w:rPr>
          <w:rFonts w:hint="eastAsia"/>
        </w:rPr>
        <w:t>煤矿</w:t>
      </w:r>
      <w:r>
        <w:t>安全监控中需清晰辨识的关键区域。DCP在强人工照明场景中引入明显蓝-洋红色偏；CLAHE在仪表盘高光区域产生过曝截断；Retinex存在整体色调偏移；RIDCP在单纯雾化场景稳健，但在复杂混合光照下仪表刻度辨识度有限。LUCIDMine在仪表盘雾化、巷道散射与宽视角复杂场景中均保持稳健的ROI可见度与整体结构保留，体现了可见度条件化适配的跨场景稳健性。</w:t>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跨域稳定性定性对比。黄色框标注仪表盘ROI关键区域。三组不同类型场景中，中间行依次为DCP/CLAHE/Retinex/RIDCP的输出，底行为LUCIDMine输出。LUCIDMine在各场景类型下均保持清晰的ROI可见度与整体结构保留。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RIDCP在仪表雾化（M4，雾霾散射主导，0.943）与缆线眩光（M1，0.931）场景领先，反映码本先验在雾化主导场景的内在优势；LUCIDMine在顶板纹理（M5，低可见度弱纹理，0.941）与矿工场景（M2，0.878）领先，并在绿色灯光（M3）与机械扬尘（M6）场景与RIDCP并列最优。上述分布说明</w:t>
      </w:r>
      <w:r>
        <w:rPr>
          <w:rFonts w:hint="eastAsia"/>
        </w:rPr>
        <w:t>煤矿</w:t>
      </w:r>
      <w:r>
        <w:t>图像增强并非单一指标最大化问题：不同退化类型（雾化散射主导 vs. 低可见度弱纹理主导）对方法设计的需求存在本质差异。</w:t>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M3绿色灯光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0.932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0.866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0.849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0.912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0.904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0.915</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0.814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0.718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0.767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0.868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0.839</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0.918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0.867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0.915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0.870</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0.901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0.913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0.845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0.906</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0.864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0.865</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RIDCP [2]</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0.931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0.868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0.943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0.882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0.932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0.926</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0.878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0.856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0.922</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0.941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0.932</w:t>
            </w:r>
          </w:p>
        </w:tc>
      </w:tr>
    </w:tbl>
    <w:p w14:paraId="3DE271B7">
      <w:pPr>
        <w:spacing w:before="30" w:after="180" w:line="280" w:lineRule="auto"/>
      </w:pPr>
      <w:r>
        <w:rPr>
          <w:i/>
          <w:iCs/>
          <w:sz w:val="18"/>
          <w:szCs w:val="18"/>
        </w:rPr>
        <w:t>注：RIDCP在仪表雾化（M4，雾霾散射主导）与缆线眩光（M1）场景领先；LUCIDMine在顶板低可见度纹理（M5）与矿工场景（M2）领先，在绿色灯光（M3）与机械扬尘（M6）场景并列最优。结果表明不同退化类型对方法设计有不同要求。</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RIDCP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优于RIDCP。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w:t>
      </w:r>
      <w:r>
        <w:rPr>
          <w:rFonts w:hint="eastAsia" w:ascii="黑体" w:hAnsi="黑体" w:eastAsia="黑体" w:cs="黑体"/>
          <w:sz w:val="18"/>
          <w:szCs w:val="18"/>
        </w:rPr>
        <w:t>数据</w:t>
      </w:r>
      <w:r>
        <w:rPr>
          <w:rFonts w:ascii="黑体" w:hAnsi="黑体" w:eastAsia="黑体" w:cs="黑体"/>
          <w:sz w:val="18"/>
          <w:szCs w:val="18"/>
        </w:rPr>
        <w:t>库的288对测试集）。行对应</w:t>
      </w:r>
      <w:r>
        <w:rPr>
          <w:rFonts w:hint="eastAsia" w:ascii="黑体" w:hAnsi="黑体" w:eastAsia="黑体" w:cs="黑体"/>
          <w:sz w:val="18"/>
          <w:szCs w:val="18"/>
        </w:rPr>
        <w:t>煤矿</w:t>
      </w:r>
      <w:r>
        <w:rPr>
          <w:rFonts w:ascii="黑体" w:hAnsi="黑体" w:eastAsia="黑体" w:cs="黑体"/>
          <w:sz w:val="18"/>
          <w:szCs w:val="18"/>
        </w:rPr>
        <w:t>场景M1–M6，列依次为：输入原图、DCP、CLAHE、Retinex、RIDCP、LUCIDMine。LUCIDMine（最右列）在各场景类型下视觉质量最为均衡。</w:t>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w:t>
      </w:r>
      <w:r>
        <w:t>的核心设计优势在于：（1）物理可解释性——四维先验张量（亮度、暗通道、眩光、低可见度）直接对应</w:t>
      </w:r>
      <w:r>
        <w:rPr>
          <w:rFonts w:hint="eastAsia"/>
        </w:rPr>
        <w:t>煤矿</w:t>
      </w:r>
      <w:r>
        <w:t>退化的物理来源，模型行为可通过先验图直接分析；（2）高效迁移性——参数增幅&lt;1%，零门控初始化保证迁移安全；（3）可解释的失效分析——先验图同时可作为</w:t>
      </w:r>
      <w:r>
        <w:rPr>
          <w:rFonts w:hint="eastAsia"/>
        </w:rPr>
        <w:t>煤矿</w:t>
      </w:r>
      <w:r>
        <w:t>场景退化诊断工具，为操作人员提供量化的场景质量分析。这些特性使LUCIDMine不仅是一个复原算法，也是一个面向井下监控的可解释视觉增强框架。</w:t>
      </w:r>
    </w:p>
    <w:p w14:paraId="336517AB">
      <w:pPr>
        <w:pStyle w:val="3"/>
        <w:spacing w:line="300" w:lineRule="auto"/>
      </w:pPr>
      <w:r>
        <w:rPr>
          <w:sz w:val="21"/>
          <w:szCs w:val="21"/>
        </w:rPr>
        <w:t>5.2　局限性与未来工作</w:t>
      </w:r>
    </w:p>
    <w:p w14:paraId="50B797A0">
      <w:pPr>
        <w:spacing w:after="40" w:line="300" w:lineRule="auto"/>
        <w:ind w:left="420" w:hanging="420"/>
      </w:pPr>
      <w:r>
        <w:t>（1）</w:t>
      </w:r>
      <w:r>
        <w:rPr>
          <w:b/>
          <w:bCs/>
        </w:rPr>
        <w:t>眩光抑制不均匀：</w:t>
      </w:r>
      <w:r>
        <w:t>GARC在极端强点光源（如机械探照灯）附近的控制能力仍有提升空间，表3中眩光代理略高于RIDCP，在极端高光场景（如M1缆线眩光场景，表6中0.926略低于RIDCP的0.931）有损失。</w:t>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w:t>
      </w:r>
      <w:r>
        <w:rPr>
          <w:rFonts w:hint="eastAsia"/>
        </w:rPr>
        <w:t>煤矿</w:t>
      </w:r>
      <w:r>
        <w:t>图像的端到端复原框架LUCIDMine。该框架以多尺度残差编解码主干为核心，针对煤矿复合退化引入两个</w:t>
      </w:r>
      <w:r>
        <w:rPr>
          <w:rFonts w:hint="eastAsia"/>
        </w:rPr>
        <w:t>煤矿</w:t>
      </w:r>
      <w:r>
        <w:t>定制控制模块：可见度条件化瓶颈适配模块（VCA）通过零门控残差路径将四维</w:t>
      </w:r>
      <w:r>
        <w:rPr>
          <w:rFonts w:hint="eastAsia"/>
        </w:rPr>
        <w:t>煤矿</w:t>
      </w:r>
      <w:r>
        <w:t>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w:t>
      </w:r>
      <w:r>
        <w:rPr>
          <w:rFonts w:hint="eastAsia"/>
        </w:rPr>
        <w:t>煤矿</w:t>
      </w:r>
      <w:r>
        <w:t>配对图像上完成两阶段有监督训练。在288对真实配对测试集上，LUCIDMine的PSNR为23.42 dB，SSIM为0.956，较最强公开基线RIDCP分别提升2.68 dB与0.031；模型参数增幅&lt;1%，GPU时延增加&lt;1 ms，满足</w:t>
      </w:r>
      <w:r>
        <w:rPr>
          <w:rFonts w:hint="eastAsia"/>
        </w:rPr>
        <w:t>煤矿</w:t>
      </w:r>
      <w:r>
        <w:t>现场实时处理需求。消融实验验证了VCA（+2.81 dB PSNR）与GARC协同的有效性。该框架为标注数据稀缺的</w:t>
      </w:r>
      <w:r>
        <w:rPr>
          <w:rFonts w:hint="eastAsia"/>
        </w:rPr>
        <w:t>煤矿</w:t>
      </w:r>
      <w:r>
        <w:t>场景提供了一条计算高效、物理可解释、迁移安全的图像复原路径，在</w:t>
      </w:r>
      <w:r>
        <w:rPr>
          <w:rFonts w:hint="eastAsia"/>
        </w:rPr>
        <w:t>煤矿带式输送机目标检测</w:t>
      </w:r>
      <w:r>
        <w:t>的视觉增强领域具有较强的实用价值与方法扩展潜力。</w:t>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