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dB，暗度代理高达0.409（表3），可见度得分跌至0.812；CLAHE的SSIM最低（0.805），表明其局部直方图修正与真实参考存在较大结构偏差；Retinex的SSIM仅0.681，色调调整引入系统性偏差；AdaIR(ICLR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PSNR）与GARC协同的有效性。该框架为标注数据稀缺的煤矿场景提供了一条计算高效、物理可解释、迁移安全的图像复原路径，在煤矿带式输送机目标检测的视觉增强领域具有较强的实用价值与方法扩展潜力。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