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该方法峰值信噪比（PSNR）、结构相似度（SSIM）、平均绝对误差（MAE）综合可见度代理得分0.909；与最新开源基线AdaIR(ICLR 2025)（代理集实测）相比，LUCIDMine在PSNR（代理集+2.41 dB）与SSIM方面均领先；通过选取30幅质量差的图像实验，峰值信噪比（PSNR）达23.11 dB，结构相似性指数（SSIM）达0.954；通过任意选取192幅图像实验，PSNR为21.87 dB，SSIM为0.941，均优于所有对比方法，并进行消融实验，验证了VCA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2025）进一步将统一骨干扩展至多退化任务，然而其面向户外通用退化的设计缺乏对煤矿灯光眩光与高光放大的针对性建模，在井下场景直接应用时可见度提升有限。近年来，全能图像复原方法（如AdaIR[35]，ICLR 2025）将统一Transformer骨干扩展至多类退化，在多任务去雾等标准基准上取得领先性能，然而其通用设计对煤矿特有的眩光饱和与非均匀高动态照明缺乏专项建模。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绿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clip(1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w:t>
            </w:r>
            <w:r>
              <w:rPr>
                <w:rFonts w:ascii="Times New Roman" w:hAnsi="Times New Roman" w:eastAsia="Times New Roman" w:cs="Times New Roman"/>
                <w:b/>
                <w:bCs/>
                <w:i/>
                <w:iCs/>
              </w:rPr>
              <w:t>S</w:t>
            </w:r>
            <w:r>
              <w:rPr>
                <w:rFonts w:ascii="Times New Roman" w:hAnsi="Times New Roman" w:eastAsia="Times New Roman" w:cs="Times New Roman"/>
              </w:rPr>
              <w:t>,  0.55,  1.45)</w:t>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w:t>
      </w:r>
      <w:r>
        <w:rPr>
          <w:rFonts w:ascii="Times New Roman" w:hAnsi="Times New Roman" w:eastAsia="Times New Roman" w:cs="Times New Roman"/>
        </w:rPr>
        <w:t>n</w:t>
      </w:r>
      <w:r>
        <w:t>=288对）：</w:t>
      </w:r>
      <w:bookmarkStart w:id="7" w:name="OLE_LINK8"/>
      <w:bookmarkStart w:id="8" w:name="OLE_LINK9"/>
      <w:r>
        <w:t>峰值信噪比PSNR（↑，dB）、结构相似度SSIM</w:t>
      </w:r>
      <w:r>
        <w:rPr>
          <w:rFonts w:ascii="Times New Roman" w:hAnsi="Times New Roman" w:eastAsia="Times New Roman" w:cs="Times New Roman"/>
          <w:sz w:val="16"/>
          <w:szCs w:val="16"/>
          <w:vertAlign w:val="superscript"/>
        </w:rPr>
        <w:t>[30]</w:t>
      </w:r>
      <w:r>
        <w:t>（↑）、平均绝对误差MAE（↓）</w:t>
      </w:r>
      <w:bookmarkEnd w:id="7"/>
      <w:bookmarkEnd w:id="8"/>
      <w:r>
        <w:t>。（2）综合可见度代理得分（Vis，↑），聚合五维子指标</w:t>
      </w:r>
      <w:r>
        <w:rPr>
          <w:rFonts w:ascii="Times New Roman" w:hAnsi="Times New Roman" w:eastAsia="Times New Roman" w:cs="Times New Roman"/>
          <w:sz w:val="16"/>
          <w:szCs w:val="16"/>
          <w:vertAlign w:val="superscript"/>
        </w:rPr>
        <w:t>[31]</w:t>
      </w:r>
      <w:r>
        <w:t>：</w:t>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 xml:space="preserve">Vis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C̃</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i/>
                <w:iCs/>
              </w:rPr>
              <w:t>Ẽ</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(1−</w:t>
            </w:r>
            <w:r>
              <w:rPr>
                <w:rFonts w:ascii="Times New Roman" w:hAnsi="Times New Roman" w:eastAsia="Times New Roman" w:cs="Times New Roman"/>
                <w:i/>
                <w:iCs/>
              </w:rPr>
              <w:t>D̃</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(1−</w:t>
            </w:r>
            <w:r>
              <w:rPr>
                <w:rFonts w:ascii="Times New Roman" w:hAnsi="Times New Roman" w:eastAsia="Times New Roman" w:cs="Times New Roman"/>
                <w:i/>
                <w:iCs/>
              </w:rPr>
              <w:t>G̃</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i/>
                <w:iCs/>
              </w:rPr>
              <w:t>S̃</w:t>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w:t>
      </w:r>
      <w:r>
        <w:rPr>
          <w:rFonts w:ascii="Times New Roman" w:hAnsi="Times New Roman" w:eastAsia="Times New Roman" w:cs="Times New Roman"/>
          <w:i/>
          <w:iCs/>
        </w:rPr>
        <w:t>C̃</w:t>
      </w:r>
      <w:r>
        <w:t>、归一化Shannon熵</w:t>
      </w:r>
      <w:r>
        <w:rPr>
          <w:rFonts w:ascii="Times New Roman" w:hAnsi="Times New Roman" w:eastAsia="Times New Roman" w:cs="Times New Roman"/>
          <w:i/>
          <w:iCs/>
        </w:rPr>
        <w:t>Ẽ</w:t>
      </w:r>
      <w:r>
        <w:t>、归一化暗度</w:t>
      </w:r>
      <w:r>
        <w:rPr>
          <w:rFonts w:ascii="Times New Roman" w:hAnsi="Times New Roman" w:eastAsia="Times New Roman" w:cs="Times New Roman"/>
          <w:i/>
          <w:iCs/>
        </w:rPr>
        <w:t>D̃</w:t>
      </w:r>
      <w:r>
        <w:t>、归一化眩光</w:t>
      </w:r>
      <w:r>
        <w:rPr>
          <w:rFonts w:ascii="Times New Roman" w:hAnsi="Times New Roman" w:eastAsia="Times New Roman" w:cs="Times New Roman"/>
          <w:i/>
          <w:iCs/>
        </w:rPr>
        <w:t>G̃</w:t>
      </w:r>
      <w:r>
        <w:t>与归一化梯度锐度</w:t>
      </w:r>
      <w:r>
        <w:rPr>
          <w:rFonts w:ascii="Times New Roman" w:hAnsi="Times New Roman" w:eastAsia="Times New Roman" w:cs="Times New Roman"/>
          <w:i/>
          <w:iCs/>
        </w:rPr>
        <w:t>S̃</w:t>
      </w:r>
      <w:r>
        <w:t>均归一化至</w:t>
      </w:r>
      <w:r>
        <w:rPr>
          <w:rFonts w:ascii="Times New Roman" w:hAnsi="Times New Roman" w:eastAsia="Times New Roman" w:cs="Times New Roman"/>
        </w:rPr>
        <w:t>[0,1]</w:t>
      </w:r>
      <w:r>
        <w:t>，权重分别为</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0.25,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3</w:t>
      </w:r>
      <w:r>
        <w:rPr>
          <w:rFonts w:ascii="Times New Roman" w:hAnsi="Times New Roman" w:eastAsia="Times New Roman" w:cs="Times New Roman"/>
        </w:rPr>
        <w:t xml:space="preserve"> = 0.20,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4</w:t>
      </w:r>
      <w:r>
        <w:rPr>
          <w:rFonts w:ascii="Times New Roman" w:hAnsi="Times New Roman" w:eastAsia="Times New Roman" w:cs="Times New Roman"/>
        </w:rPr>
        <w:t xml:space="preserve"> = </w:t>
      </w:r>
      <w:r>
        <w:rPr>
          <w:rFonts w:ascii="Times New Roman" w:hAnsi="Times New Roman" w:eastAsia="Times New Roman" w:cs="Times New Roman"/>
          <w:i/>
          <w:iCs/>
        </w:rPr>
        <w:t>w</w:t>
      </w:r>
      <w:r>
        <w:rPr>
          <w:rFonts w:ascii="Times New Roman" w:hAnsi="Times New Roman" w:eastAsia="Times New Roman" w:cs="Times New Roman"/>
          <w:sz w:val="14"/>
          <w:szCs w:val="14"/>
          <w:vertAlign w:val="subscript"/>
        </w:rPr>
        <w:t>5</w:t>
      </w:r>
      <w:r>
        <w:rPr>
          <w:rFonts w:ascii="Times New Roman" w:hAnsi="Times New Roman" w:eastAsia="Times New Roman" w:cs="Times New Roman"/>
        </w:rPr>
        <w:t xml:space="preserve"> = 0.15</w:t>
      </w:r>
      <w:r>
        <w:t>，对比度与熵各占25%权重，暗度抑制、眩光抑制与锐度各占20%和15%。注意此处评估指标</w:t>
      </w:r>
      <w:r>
        <w:rPr>
          <w:rFonts w:ascii="Times New Roman" w:hAnsi="Times New Roman" w:eastAsia="Times New Roman" w:cs="Times New Roman"/>
        </w:rPr>
        <w:t>Vis</w:t>
      </w:r>
      <w:r>
        <w:t>与式（5）中低可见度先验图</w:t>
      </w:r>
      <w:r>
        <w:rPr>
          <w:rFonts w:ascii="Times New Roman" w:hAnsi="Times New Roman" w:eastAsia="Times New Roman" w:cs="Times New Roman"/>
          <w:b/>
          <w:bCs/>
          <w:i/>
          <w:iCs/>
        </w:rPr>
        <w:t>V</w:t>
      </w:r>
      <w:r>
        <w:t>为不同概念，以不同符号加以区分。各子指标具体定义如下（均在归一化RGB图像空间[0,1]计算）：对比度C采用局部Michelson对比度（15×15窗口均值，C = mean((max_ch−min_ch)/(max_ch+min_ch+ε))）；熵Ẽ为灰度图（BT.601加权）256-bin直方图的Shannon熵；暗度D̃为各像素最小通道值经15×15均值滤波后的全图均值；眩光G̃为任一通道超过0.95的像素占比；锐度S̃为灰度图Laplacian算子输出方差。五项子指标在同批次所有对比方法的全部测试图像上联合min-max归一化，确保比较公平性。</w:t>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i7上测量。DCP/CLAHE/Retinex为纯CPU实现，不涉及GPU加速，故不列入本表。LUCIDMine相对骨干基线参数增量&lt;0.06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dB，SSIM为0.956，MAE为0.057，综合可见度代理得分为0.931，在全部7类对比方法中均位居最优（表2）。相较最强可访问开源基线AdaIR(ICLR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因暗通道极低（0.021）而高达0.775，揭示无参考与全参考评价的差异；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LUCIDMine在六幅代表性场景上综合可见度代理Vis最高（0.909），锐度（0.028）亦最优，表明煤矿先验条件化的特征适配有效复原了弱结构细节（表3）。图2以三维曲面展示全部方法在M1–M6场景上的可见度代理分布，可直观观察到LUCIDMine在各场景的稳定优势。值得注意的是，LUCIDMine的眩光代理（0.014）与过曝率（0.054）相对较高，系GARC在维持低可见度区域复原效果时对高光控制的显式权衡取舍，与第4.7节逐场景分析保持一致。</w:t>
      </w:r>
      <w:r/>
      <w:r>
        <w:rPr>
          <w:rFonts w:hint="eastAsia"/>
        </w:rPr>
      </w:r>
      <w:r/>
    </w:p>
    <w:p w14:paraId="272795BC">
      <w:pPr>
        <w:spacing w:before="220" w:after="60" w:line="280" w:lineRule="auto"/>
        <w:jc w:val="center"/>
      </w:pPr>
      <w:r>
        <w:rPr>
          <w:rFonts w:ascii="黑体" w:hAnsi="黑体" w:eastAsia="黑体" w:cs="黑体"/>
          <w:b/>
          <w:bCs/>
          <w:sz w:val="18"/>
          <w:szCs w:val="18"/>
        </w:rPr>
        <w:t>表3　六幅代表性测试场景无参考诊断指标</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锐度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暗度↓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眩光↓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0.526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0.202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0.635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0.150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0.775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0.330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0.021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0.125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0.656</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0.499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0.485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0.397</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0.008</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0.226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0.000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0.642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0.313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0.409</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0.138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0.593</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0.130</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0.434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0.161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无参考代理仅供诊断参考（n=6），不具统计显著性。LUCIDMine的综合可见度Vis（0.593）与锐度（0.130）最优；眩光（0.161）与过曝率（0.202）相对较高，系GARC在维持低可见度区域复原效果时与高光抑制之间的设计权衡，详见第4.7节逐场景分析。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w:t>
      </w:r>
      <w:r>
        <w:rPr>
          <w:rFonts w:hint="eastAsia"/>
        </w:rPr>
        <w:t>煤矿</w:t>
      </w:r>
      <w:r>
        <w:t>先验注入压缩瓶颈显著改善了退化空间感知能力，是全参考重建质量提升的主要驱动因素。仅启用GARC时，全参考指标与骨干基线持平，说明GARC对全参考重建的贡献通过与VCA的协同方可充分发挥；完整LUCIDMine（VCA+GARC）相较仅VCA进一步将PSNR提升至23.11 dB、可见度代理提升至0.930，证实两模块存在正向协同效应：VCA提供精准的空间退化先验，GARC在此基础上对高光区域实施精细控制。</w:t>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LUCIDMine在顶板纹理（M5，低可见度弱纹理，0.941）、机械扬尘（M6，0.932）与矿工场景（M2，0.878）领先，并在仪表雾化（M4）与缆线眩光（M1）场景亦具竞争力；AdaIR[35]作为通用去雾基线，在代理集评估（n=152，448×256）下全场景Vis均低于LUCIDMine，反映其户外域外设计在煤矿复合退化场景的局限性。上述分布说明煤矿图像复原并非单一指标最大化问题：不同退化类型（雾化散射主导 vs. 低可见度弱纹理主导）对方法设计的需求存在本质差异。</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0.516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0.458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0.515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0.568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0.518</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0.758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0.737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0.837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0.768</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0.832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0.708</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0.754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0.622</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0.736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0.589</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0.442</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0.407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0.413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0.377</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0.404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0.344</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0.638</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0.708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0.614</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0.685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0.647</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0.493</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0.559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0.655</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0.617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0.683</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0.521</w:t>
            </w:r>
          </w:p>
        </w:tc>
      </w:tr>
    </w:tbl>
    <w:p w14:paraId="3DE271B7">
      <w:pPr>
        <w:spacing w:before="30" w:after="180" w:line="280" w:lineRule="auto"/>
      </w:pPr>
      <w:r>
        <w:rPr>
          <w:i/>
          <w:iCs/>
          <w:sz w:val="18"/>
          <w:szCs w:val="18"/>
        </w:rPr>
        <w:t>注：各方法Vis得分已按六种对比方法（含AdaIR替代RIDCP后）在152张测试集上重新联合归一化。DCP因暗通道极低在各场Vis均最高，但PSNR仅15.92 dB（表2）揭示其过度增强导致的失真；AdaIR[35]在M3蓝色灯光场Vis最优（0.708），其余场景低于DCP；LUCIDMine在M4仪表雾化（0.617）与M5顶板纹理（0.683）场景优于AdaIR，综合复原质量以全参考指标（表2 PSNR=23.42 dB）为主要评价依据。</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（1）眩光抑制不均匀：GARC在极端强点光源（如机械探照灯）附近的控制能力仍有提升空间，表3中眩光代理偏高，在极端高光场景（如M1缆线眩光场景，表6中0.926）仍有改善空间。</w:t>
      </w:r>
      <w:r>
        <w:rPr>
          <w:b/>
          <w:bCs/>
        </w:rPr>
      </w:r>
      <w:r/>
    </w:p>
    <w:p w14:paraId="11661338">
      <w:pPr>
        <w:spacing w:after="40" w:line="300" w:lineRule="auto"/>
        <w:ind w:left="420" w:hanging="420"/>
      </w:pPr>
      <w:r>
        <w:t>（2）</w:t>
      </w:r>
      <w:r>
        <w:rPr>
          <w:b/>
          <w:bCs/>
        </w:rPr>
        <w:t>数据集地域局限：</w:t>
      </w:r>
      <w:r>
        <w:t>当前数据集来自两座煤矿，不同矿种（硬岩</w:t>
      </w:r>
      <w:r>
        <w:rPr>
          <w:rFonts w:hint="eastAsia"/>
        </w:rPr>
        <w:t>煤矿</w:t>
      </w:r>
      <w:r>
        <w:t>、金属</w:t>
      </w:r>
      <w:r>
        <w:rPr>
          <w:rFonts w:hint="eastAsia"/>
        </w:rPr>
        <w:t>煤矿</w:t>
      </w:r>
      <w:r>
        <w:t>）、摄像机型号、镜头污染状态与季节工况下的泛化能力有待进一步系统验证。</w:t>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