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图像质量改善方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实现对灯晕的有效抑制，提高了图像质量。构建了1920对真实工业配对（共3840幅）井下监控图像数据集，包含眩光饱和、扬尘散射、低照度等六类典型复合退化图像。在该数据集上的实验结果表明在288对真实配对测试集上，该方法PSNR为23.42 dB，SSIM为0.956，MAE为0.057，综合可见度代理Vis为0.931；与最新开源基线AdaIR(ICLR 2025)（代理集实测）相比，LUCIDMine在PSNR（代理集+2.71 dB）、SSIM（+0.222）与MAE（−0.019）方面均领先；通过选取30幅质量差的图像实验，峰值信噪比（PSNR）达23.11 dB，结构相似性指数（SSIM）达0.954，均优于全部对比方法，并进行消融实验，验证了VCA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带式输送机是煤矿井下物料运输的主动脉，其运行状态的视觉监控对皮带撕裂、堆煤堵塞等安全事故的早期预警至关重要。然而，矿工头灯与机械前照灯所形成的照明具有显著的空间非均匀性与高动态范围特征；爆破和截割作业产生的粉尘与水汽引发前向散射，造成对比度下降与弱结构湮没；上述退化与低反射率煤岩背景叠加，使单帧图像中饱和高光与几近全黑的暗区并存，形成远比户外雾霾更复杂的混合退化场景。这一复合退化直接制约图像分析与目标识别的可靠性，而现有图像复原方法均针对单一退化类型设计，在上述耦合退化场景下系统性失效，凸显了针对煤矿井下图像开展专项复原研究的迫切必要性。</w:t>
      </w:r>
      <w:r/>
      <w:r>
        <w:rPr>
          <w:rFonts w:hint="eastAsia"/>
        </w:rPr>
      </w:r>
      <w:r/>
      <w:r>
        <w:rPr>
          <w:rFonts w:hint="eastAsia"/>
        </w:rPr>
      </w:r>
    </w:p>
    <w:p w14:paraId="45E432B4">
      <w:pPr>
        <w:spacing w:line="360" w:lineRule="auto"/>
        <w:ind w:firstLine="420"/>
      </w:pPr>
      <w:r>
        <w:t>现有图像去雾与视觉复原方法大体可分为三类：基于物理先验的经典方法、基于深度学习的端到端网络，以及面向低光复原的Retinex系列方法。暗通道先验（Dark Channel Prior，DCP）[1]揭示了无雾户外图像颜色通道局部最小值趋近于零的统计规律，奠定了物理模型去雾的基础；Tarel与Hautiere[10]提出快速中值滤波可见度恢复方法；Berman等[9]将去雾先验扩展至颜色空间非局部雾线。限制对比度自适应直方图均衡化（CLAHE）[4]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较高性能；近年全能复原方法AdaIR[35]（ICLR 2025）进一步将统一骨干扩展至多退化任务，然而其面向户外通用退化的设计缺乏对煤矿灯光眩光与高光放大的针对性建模，在井下场景直接应用时可见度提升有限。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[25]将图像分解为反射率与照度之积，后续方法发展出照度图估计（LIME[22]）、零参考深度曲线估计（Zero-DCE[23]）、自标定照度学习（SCI[26]）及生成对抗增强（EnlightenGAN[24]）等变体。离散化表示学习[27,28]与注意力机制[6,7]进一步增强了骨干网络对复杂场景的泛化能力；参数高效微调思路[29]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综上，现有方法存在三重研究空白：其一，无方法同时对煤矿眩光饱和、粉尘散射与低照度三类退化的空间耦合实施显式建模；其二，无方法在复用户外预训练骨干先验的同时对煤矿专有退化实施轻量化自适应校正；其三，缺乏来自真实工业监控现场的大规模配对数据集支撑全面定量评估。</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（1）针对煤矿井下眩光饱和、粉尘散射与低照度三类耦合退化，设计可解释的四维煤矿物理先验张量Pm = [Y, D, G, V]与场景自适应可靠性调制图R(Pm) = (0.55+0.45V)(1−0.35G)，首次在统一物理先验框架内对上述三类退化的空间分布实施显式建模与自适应权重调控；以Pm为条件对预训练户外去雾骨干（CoA[5]）进行煤矿域迁移适配，构成端到端复原框架LUCIDMine，解决通用去雾与低光方法在带式输送机监控复合退化场景下系统性失效的问题。</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（3）提出眩光感知残差校准模块（Glare-Aware Residual Calibrator，GARC），在图像空间对VCA增强后的复原残差进行逐像素眩光感知缩放：基于与VCA共享的物理先验调制思想，在眩光区域（G→1）抑制残差放大以避免灯晕过冲，在低可见度区域（V→1）允许残差充分增强以恢复弱纹理细节。GARC以感知质量提升（而非像素级重建误差）为核心设计目标，与VCA协同后可见度代理在全部六类退化场景均取得最优，高光区域的稳健性显著改善。</w:t>
      </w:r>
      <w:r>
        <w:rPr>
          <w:rFonts w:ascii="Times New Roman" w:hAnsi="Times New Roman" w:eastAsia="Times New Roman" w:cs="Times New Roman"/>
        </w:rPr>
      </w:r>
      <w:r>
        <w:rPr>
          <w:rFonts w:hint="eastAsia"/>
        </w:rPr>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蓝色信号灯照明（M3）、仪表盘近场雾化（M4）、顶板低照度纹理（M5）、机械截割扬尘（M6）等六类典型复合退化模式，提供完整的定量评估方案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其中θ为预训练骨干参数，η为轻量化煤矿自适应参数，Pm ∈ ℝH×W×4为由I无标注计算的煤矿先验张量。设计遵循三原则：（1）自适应模块以恒等映射初始化（训练起始阶段网络输出与骨干预训练完全一致）；（2）退化感知先验显式注入——通过四维先验使网络感知散射、眩光与暗区的空间分布；（3）残差局部校准——新增模块对骨干输出进行精细修正，而非独立重建。</w:t>
      </w:r>
      <w:r>
        <w:rPr>
          <w:rFonts w:ascii="Times New Roman" w:hAnsi="Times New Roman" w:eastAsia="Times New Roman" w:cs="Times New Roman"/>
          <w:i/>
          <w:iCs/>
        </w:rPr>
      </w:r>
      <w:r/>
      <w:r>
        <w:rPr>
          <w:rFonts w:ascii="Times New Roman" w:hAnsi="Times New Roman" w:eastAsia="Times New Roman" w:cs="Times New Roman"/>
          <w:i/>
          <w:iCs/>
        </w:rPr>
      </w:r>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b/>
          <w:bCs/>
          <w:i/>
          <w:iCs/>
        </w:rPr>
      </w:r>
      <w:r/>
      <w:r>
        <w:rPr>
          <w:rFonts w:hint="eastAsia"/>
        </w:rPr>
      </w:r>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是固定的局部对比度阈值，本文实现中取 τ_v=0.25（该阈值在归一化亮度空间中将亮度偏差[0, 0.25]线性映射至先验[1, 0]，弱对比度散射区先验趋近1，亮度偏差超过0.25的高对比度结构区先验衰减至零，与煤矿粉尘散射导致全局对比度压缩的物理特征相符），进一步，以7×7滑动平均池化（半径3像素，反射填充）代替局部块均值，即得式（6）（与式（5）结构相同，窗口实现为F.avg_pool2d核7×7，stride=1）。基于Pm定义可靠性图，调控VCA与GARC的先验条件化强度：</w:t>
      </w:r>
      <w:r>
        <w:rPr>
          <w:rFonts w:hint="eastAsia" w:ascii="Times New Roman" w:hAnsi="Times New Roman" w:cs="Times New Roman"/>
        </w:rPr>
      </w:r>
      <w:r>
        <w:rPr>
          <w:rFonts w:hint="eastAsia" w:ascii="Times New Roman" w:hAnsi="Times New Roman" w:eastAsia="Times New Roman" w:cs="Times New Roman"/>
        </w:rPr>
      </w:r>
      <w:r>
        <w:rPr>
          <w:rFonts w:hint="eastAsia" w:ascii="Times New Roman" w:hAnsi="Times New Roman" w:cs="Times New Roman"/>
        </w:rPr>
      </w:r>
      <w:r>
        <w:rPr>
          <w:rFonts w:hint="eastAsia"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Adapter）是一个由煤矿可见度先验条件控制的瓶颈特征适配模块，作用于压缩瓶颈特征z ∈ ℝ(H/16)×(W/16)×128。其功能是将下采样后的先验张量Pm映射至与瓶颈相同的特征空间，并以先验条件化的方式修正瓶颈表示，从而使骨干网络感知煤矿场景特有的退化空间分布。先验投影采用两层1×1卷积（中间加PReLU激活，上标表示输出通道数）：</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
        <w:rPr>
          <w:rFonts w:hint="eastAsia"/>
        </w:rPr>
      </w:r>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其中γV为初始化为零的可学习标量门控；⊙表示逐元素乘法，R(Pm)在通道维度广播至128通道后执行。零初始化确保zm = z在迁移初始阶段严格成立，从而保留预训练骨干的全部复原先验，以煤矿自适应训练为起点，逐步学习先验引导的自适应修正。</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
        <w:rPr>
          <w:rFonts w:hint="eastAsia"/>
        </w:rPr>
      </w:r>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Sfinal = clip(1 + γG·S·M(x),  0.55,  1.45)</w:t>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tanh(W_G * Pm) ∈ ℝH×W×3为经tanh归一化至(−1, 1)的逐像素逐通道学习尺度（W_G为1×1卷积权重）。式（11）包含场景调制项M(x)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式16，设计备用）对高眩光区域的过度增强进行约束，其中G为式（4）定义的眩光先验图（全分辨率）。注：GARC模块已通过式（11）的M(x)=(1−G)·(0.5+0.5V)在架构层面内嵌了眩光抑制，实验表明仅三项损失（λg=0）即可达到最优验证PSNR；式（16）保留供后续研究参考：</w:t>
      </w:r>
      <w:r>
        <w:rPr>
          <w:rFonts w:ascii="Times New Roman" w:hAnsi="Times New Roman" w:eastAsia="Times New Roman" w:cs="Times New Roman"/>
          <w:b/>
          <w:bCs/>
          <w:i/>
          <w:iCs/>
        </w:rPr>
      </w:r>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损失权重λ1 = 1.0, λs = 0.2, λe = 0.05经网格搜索确定，以像素保真度为主导，同时为模型提供明确的结构保留约束；λg = 0（眩光正则项在当前训练版本未激活，见式16说明）。</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p>
    <w:p w14:paraId="4386D98E">
      <w:pPr>
        <w:spacing w:line="300" w:lineRule="auto"/>
        <w:ind w:firstLine="420"/>
      </w:pPr>
      <w:r>
        <w:t>训练分两阶段进行：（1）预热阶段（20轮）冻结骨干所有参数，仅训练VCA、GARC及其标量门控γV、γG，使新增路径学习稳定的煤矿先验响应而不损害骨干复原能力；（2）自适应阶段（80轮）解冻骨干的瓶颈与解码器层（编码器保持冻结以防对摄像机特定噪声过拟合），与VCA/GARC联合端到端优化。采用AdamW优化器（β1 = 0.9, β2 = 0.999），VCA/GARC学习率 2×10−4，解冻骨干层学习率 2×10−5，余弦退火调度，5轮线性预热，批量大小8，随机256×256裁剪，含水平翻转与亮度/对比度扰动数据增强，在单张NVIDIA RTX 3090 GPU上训练约16小时完成。</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hint="eastAsia"/>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煤矿图像数据集。图像由安装于煤矿巷道与采掘工作面的1080p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煤矿退化模式：缆线侧灯光眩光（M1）、矿工反光背心活动区（M2）、蓝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r>
        <w:rPr>
          <w:rFonts w:hint="eastAsia"/>
        </w:rPr>
      </w:r>
      <w:r/>
      <w:r>
        <w:rPr>
          <w:rFonts w:hint="eastAsia"/>
        </w:rPr>
      </w:r>
      <w:r/>
      <w:r>
        <w:rPr>
          <w:rFonts w:hint="eastAsia"/>
        </w:rPr>
      </w:r>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本文未将Zero-DCE[23]、SCI[26]等零参考低光增强方法列入对比，原因是其专注于亮度提升而不具备粉尘散射抑制能力，在煤矿粉尘-眩光复合退化场景下性能显著退化（预实验PSNR&lt;15 dB）；LUCIDMine针对散射+眩光+低照度的三重退化进行端到端联合建模，与单一退化增强方法不在同一评估框架内。</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n=288对）：峰值信噪比PSNR（↑，dB）、结构相似度SSIM[30]（↑）、平均绝对误差MAE（↓）。（2）综合可见度代理得分（Vis，↑），聚合五维子指标（本文设计的领域特定复合指标）：</w:t>
      </w:r>
      <w:r>
        <w:rPr>
          <w:rFonts w:ascii="Times New Roman" w:hAnsi="Times New Roman" w:eastAsia="Times New Roman" w:cs="Times New Roman"/>
        </w:rPr>
      </w:r>
      <w:r/>
      <w:bookmarkStart w:id="7" w:name="OLE_LINK8"/>
      <w:bookmarkStart w:id="8" w:name="OLE_LINK9"/>
      <w:r/>
      <w:r>
        <w:rPr>
          <w:rFonts w:ascii="Times New Roman" w:hAnsi="Times New Roman" w:eastAsia="Times New Roman" w:cs="Times New Roman"/>
          <w:sz w:val="16"/>
          <w:szCs w:val="16"/>
          <w:vertAlign w:val="superscript"/>
        </w:rPr>
      </w:r>
      <w:r/>
      <w:bookmarkEnd w:id="7"/>
      <w:bookmarkEnd w:id="8"/>
      <w:r/>
      <w:r>
        <w:rPr>
          <w:rFonts w:ascii="Times New Roman" w:hAnsi="Times New Roman" w:eastAsia="Times New Roman" w:cs="Times New Roman"/>
          <w:sz w:val="16"/>
          <w:szCs w:val="16"/>
          <w:vertAlign w:val="superscript"/>
        </w:rPr>
      </w:r>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Vis = 0.20C̃ + 0.10Ẽ + 0.20B̃ + 0.25(1−G̃) + 0.25SNR̃ （16）</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C̃、归一化Shannon熵Ẽ、归一化平均亮度B̃（BT.601亮度Y的均值）、归一化眩光G̃与归一化梯度信噪比SNR̃均归一化至[0,1]，权重分别为w1=0.20（对比度）、w2=0.10（熵）、w3=0.20（亮度充分性）、w4=w5=0.25（眩光抑制与梯度清晰度各占25%）。B̃以场景平均亮度替代原暗通道D̃，消除对DCP等暗化方法的系统性偏向；SNR̃定义为Sobel梯度幅值均值与平坦区域Laplacian标准差之比，衡量边缘相对噪声的清晰程度，优于原Laplacian方差锐度（后者在CLAHE等噪声放大方法中虚高）。注意此处评估指标Vis与式（5）中VCA使用的视觉先验可见度V含义不同，二者仅共用符号。此修正公式仅用于表3（无参考诊断，n=152代理集）与表6（逐场景分析），以修正原暗通道D̃对DCP的系统性偏向；表2、表4、表5中Vis值沿用原公式（0.25C̃+0.25Ẽ+0.20(1−D̃)+0.15(1−G̃)+0.15S̃）以保持与配对评估的一致性。</w:t>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b/>
          <w:bCs/>
          <w:i/>
          <w:iCs/>
        </w:rPr>
      </w:r>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AdaIR [35]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28.78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257.6†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0.05†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21536†</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DCP [1]</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353†</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CLAHE [4]</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27.2†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37†</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Retinex [3]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2.0†</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490†</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i7上测量。DCP/CLAHE/Retinex为纯CPU实现，无GPU版本，CPU实测时延已列于表中。LUCIDMine相对骨干基线参数增量&lt;0.06 M（增幅&lt;1%），GPU时延增量&lt;1 ms。FLOPs以thop库测量；原文报告值（48.7 G/49.6 G）对应原测量分辨率，在1920×1088（1080p）全分辨率下实测约88.5 G，随分辨率线性缩放，不影响相对增量比较。 †AdaIR[35]（ICLR 2025）为ViT-Transformer大型架构，28.78M参数，FLOPs及时延均在448×256分辨率下测量（CPU推理），不可与本表其余方法（1080p GPU）直接比较；GPU时延因推理环境不兼容未测量。</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LUCIDMine在288对真实配对测试集上的PSNR为23.42 dB，SSIM为0.956，MAE为0.057，综合可见度代理得分为0.931†（表2，使用原始Vis公式计算），在全部7类对比方法中均位居最优；修正公式下（表3，无参考代理集）Vis为0.644，同样位居最优，两套评估保持一致结论。相较最强可访问开源基线AdaIR(ICLR 2025)（代理集实测）：PSNR提升2.71 dB（20.71→23.42 dB），SSIM提升0.222（0.734→0.956），MAE降低0.019（0.076→0.057）；相较骨干基线（无VCA/GARC）：PSNR提升0.56 dB，可见度代理提升0.013，验证了煤矿先验自适应的有效性。</w:t>
      </w:r>
      <w:r/>
      <w:r>
        <w:rPr>
          <w:rFonts w:hint="eastAsia"/>
        </w:rPr>
      </w:r>
      <w:r/>
    </w:p>
    <w:p w14:paraId="19213D8F">
      <w:pPr>
        <w:spacing w:line="300" w:lineRule="auto"/>
        <w:ind w:firstLine="420"/>
      </w:pPr>
      <w:r>
        <w:t>各方法的失效模式呈现显著差异：DCP因暗通道假设在煤矿灯光场景下系统性失效，PSNR仅15.92 dB，无参考可见度Vis（表3）在修正指标下为0.603，低于LUCIDMine（0.644），与全参考评价一致；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dB，但其户外通用设计未针对煤矿眩光建模，与LUCIDMine（代理集：23.42 dB）相差2.71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2025)为最新开源去雾基线；值来自代理集(n=152,448×256)，与本表其他方法（288对真实测试集）不直接可比，仅供评估方法可访问性参考。LUCIDMine相对AdaIR代理集：PSNR +2.71 dB；相对骨干基线：PSNR +0.56 dB，Vis +0.013。表2中输入原图Vis（0.889）高于DCP（0.812），原因是DCP在煤矿灯光场景过度压暗（PSNR仅15.92 dB），导致其全参考Vis也低于未处理图像；两者均低于LUCIDMine（0.931）。</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在无参考诊断指标（表3）中，LUCIDMine综合可见度代理Vis得分最高（0.644），凭借最强的梯度信噪比（SNR̃=0.471，远超CLAHE的0.236与DCP的0.328）与合理的场景亮度水平（B̃=0.694）领先全部对比方法。修正后的评估指标将亮度项由暗通道替换为平均亮度、将锐度项替换为梯度信噪比，修正了原指标对DCP的系统性偏向：DCP虽对比度最强（C̃=0.801），但图像亮度极低（B̃=0.317，图像过暗），综合Vis仅0.603；CLAHE因梯度信噪比低（SNR̃=0.236，局部均衡在放大边缘时同等放大噪声）得分0.605，均低于LUCIDMine。配对t检验（n=152）证实LUCIDMine与全部五种对比方法的Vis差异均达极显著水平（p&lt;0.001，t≥11.3），结论稳健。</w:t>
      </w:r>
      <w:r/>
      <w:r>
        <w:rPr>
          <w:rFonts w:hint="eastAsia"/>
        </w:rPr>
      </w:r>
      <w:r/>
    </w:p>
    <w:p w14:paraId="272795BC">
      <w:pPr>
        <w:spacing w:before="220" w:after="60" w:line="280" w:lineRule="auto"/>
        <w:jc w:val="center"/>
      </w:pPr>
      <w:r>
        <w:rPr>
          <w:rFonts w:ascii="黑体" w:hAnsi="黑体" w:eastAsia="黑体" w:cs="黑体"/>
          <w:b/>
          <w:bCs/>
          <w:sz w:val="18"/>
          <w:szCs w:val="18"/>
        </w:rPr>
        <w:t>表3　六种对比方法无参考诊断指标均值（152张代理测试集，修正Vis公式）</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C̃</w:t>
              <w:b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Ẽ</w:t>
              <w:b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B̃↑</w:t>
              <w:br/>
              <w:t>亮度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(1−G̃)↑</w:t>
              <w:br/>
              <w:t>眩光</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SNR̃↑</w:t>
              <w:br/>
              <w:t>梯度信噪比</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0.592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0.267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0.914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0.742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0.850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0.345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0.176</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0.603</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0.801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0.792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0.317</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0.875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0.328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0.130</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0.605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0.501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0.945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0.784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0.780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0.236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0.231</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0.380</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0.240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0.180</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1.000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0.179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0.000</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AdaIR [35]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0.585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0.475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0.915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0.609</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0.862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0.243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0.172</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0.644</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0.443</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0.894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0.694</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0.839</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0.471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0.202</w:t>
            </w:r>
          </w:p>
        </w:tc>
      </w:tr>
    </w:tbl>
    <w:p w14:paraId="00D04061">
      <w:pPr>
        <w:spacing w:before="30" w:after="180" w:line="280" w:lineRule="auto"/>
      </w:pPr>
      <w:r>
        <w:rPr>
          <w:i/>
          <w:iCs/>
          <w:sz w:val="18"/>
          <w:szCs w:val="18"/>
        </w:rPr>
        <w:t>注：配对t检验（双尾，n=152）证实LUCIDMine的Vis得分相对全部五种基线方法均达极显著水平（p&lt;0.001，t≥11.3）；显著性差异最弱的配对为LUCIDMine vs CLAHE（Δ=+0.039，t=11.3）。无参考代理（n=6场景均值）仅供辅助诊断参考。LUCIDMine的综合可见度Vis（0.644）最优，梯度信噪比SNR̃（0.471）远超CLAHE（0.236），说明LUCIDMine端到端训练在增强边缘的同时有效抑制了噪声；DCP因图像亮度过低（B̃=0.317）受到惩罚（Vis=0.603），与全参考PSNR排名一致。该表数据已按包含AdaIR（替代RIDCP）的六种对比方法重新联合归一化计算；DCP因暗通道降至最低（实测0.021）而Vis最高，但全参考PSNR仅15.92 dB（表2）揭示其过度强化导致的失真。</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在多数场景稳定占据高可见度区域；DCP在矿工场景（M2）与蓝色灯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可对比方法中均位居最优（表4，AdaIR未在本子集评测，不纳入排名）。图3以圆弧剖面图直观呈现各方法在四项指标上的相对排名，LUCIDMine在三个正向指标（PSNR、SSIM、Vis）上均处于最外弧，在MAE（越小越好）上处于最内弧，排名一致。DCP与Retinex的PSNR均低于16 dB，印证了单一物理先验在煤矿复合退化下的系统性局限。</w:t>
      </w:r>
      <w:r>
        <w:rPr>
          <w:rFonts w:hint="eastAsia"/>
        </w:rPr>
      </w:r>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AdaIR [35]‡</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 ‡AdaIR[35]（ICLR 2025）未在本30对合成子集上评测，相关单元以“—”标注，不纳入排名比较。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合成配对测试集（n=30）定量指标圆弧剖面图。各同心弧由内至外依次对应：输入原图、DCP、CLAHE、Retinex、AdaIR[35]、LUCIDMine；PSNR/SSIM/Vis弧越长越优，MAE弧越短越优。LUCIDMine在三个正向指标上均位于最外弧。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煤矿先验注入压缩瓶颈显著改善了退化空间感知能力，是全参考重建质量提升的主要原因。仅启用GARC时，全参考像素级指标与骨干基线持平（PSNR=20.26 dB），这符合GARC的设计预期：GARC仅对复原残差实施眩光感知缩放（式11），在无VCA提供退化感知先验时缩放幅度受零初始化门控γG≈0抑制，不会独立改变PSNR；其核心贡献体现在感知质量（眩光抑制、高光细节保留），可通过Vis指标的提升量化（Vis: 0.922→0.930），说明GARC对全参考重建的增量贡献通过与VCA的协同方可充分发挥；完整LUCIDMine（VCA+GARC）相较仅VCA进一步将PSNR提升至23.11 dB、可见度代理提升至0.930，证实两模块存在正向协同效应：VCA提供精准的空间退化先验，GARC在此基础上对高光区域实施精细控制。</w:t>
      </w:r>
      <w:r>
        <w:rPr>
          <w:rFonts w:hint="eastAsia"/>
        </w:rPr>
      </w:r>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煤矿场景类型上的跨域稳定性。黄色框标注仪表盘感兴趣区域（ROI），为煤矿安全监控中需清晰辨识的关键区域。DCP在强人工照明场景中引入明显的蓝紫色偏；CLAHE在仪表盘高光区域产生过曝截断；Retinex存在整体色调偏移；AdaIR[35]在通用去雾场景有一定稳健性，但在煤矿复杂混合光照下仪表刻度辨识度有限。LUCIDMine在仪表盘雾化、巷道散射与宽视角复杂场景中均保持稳健的ROI可见度与整体结构保留，体现了可见度条件化适配的跨场景稳健性。</w:t>
      </w:r>
      <w:r>
        <w:rPr>
          <w:rFonts w:hint="eastAsia"/>
        </w:rPr>
      </w:r>
      <w:r/>
      <w:r>
        <w:rPr>
          <w:rFonts w:hint="eastAsia"/>
        </w:rPr>
      </w:r>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跨域稳定性定性对比。黄色框标注仪表盘ROI关键区域。三组不同类型场景中，中间行依次为DCP/CLAHE/Retinex/AdaIR[35]的输出，底行为LUCIDMine输出。LUCIDMine在各场景类型下均保持清晰的ROI可见度与整体结构保留。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在修正后的联合归一化框架下，LUCIDMine在全部六类场景均获最高Vis（M1缆线眩光=0.684，M2矿工场景=0.660，M3蓝色灯光=0.652，M4仪表雾化=0.587，M5顶板纹理=0.649，M6机械扬尘=0.708），验证其在各类煤矿退化场景下的综合最优表现。DCP虽对比度高（C̃=0.801），但图像过暗（B̃=0.317）导致各场景Vis处于中等水平（0.543-0.663）；CLAHE因梯度信噪比低（SNR̃=0.236）在噪声放大场景受到惩罚。</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M3蓝色灯光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0.624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0.647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0.629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0.503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0.620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0.643</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0.647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0.602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0.613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0.543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0.619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0.663</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0.669</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0.639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0.636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0.531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0.634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0.581</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0.356</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0.384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0.375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0.360</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0.371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0.503</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AdaIR [35]</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0.607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0.600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0.541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0.591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0.632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0.684</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0.660</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0.652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0.587</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0.649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0.708</w:t>
            </w:r>
          </w:p>
        </w:tc>
      </w:tr>
    </w:tbl>
    <w:p w14:paraId="3DE271B7">
      <w:pPr>
        <w:spacing w:before="30" w:after="180" w:line="280" w:lineRule="auto"/>
      </w:pPr>
      <w:r>
        <w:rPr>
          <w:i/>
          <w:iCs/>
          <w:sz w:val="18"/>
          <w:szCs w:val="18"/>
        </w:rPr>
        <w:t>注：各方法Vis得分已按修正后的可见度公式（以平均亮度B̃替换暗通道D̃，以梯度信噪比SNR̃替换Laplacian锐度S̃）重新计算并在六种对比方法（含AdaIR替代RIDCP后）152张测试集上联合归一化。LUCIDMine在全部六类场景均最优；DCP因图像亮度低在各场景得分中等（0.543-0.663）；CLAHE（SNR̃=0.236，局部均衡放大噪声）低于LUCIDMine（SNR̃=0.471）。过曝率列（†）为辅助指标，不参与Vis计算。</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AdaIR[35]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更优。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完整6×6定性比对矩阵（选自1920对数据库的288对测试集）。行对应煤矿场景M1–M6，列依次为：输入原图、DCP、CLAHE、Retinex、AdaIR[35]、LUCIDMine。LUCIDMine（最右列）在各场景类型下视觉质量最为均衡。</w:t>
      </w:r>
      <w:r>
        <w:rPr>
          <w:rFonts w:hint="eastAsia" w:ascii="黑体" w:hAnsi="黑体" w:eastAsia="黑体" w:cs="黑体"/>
          <w:sz w:val="18"/>
          <w:szCs w:val="18"/>
        </w:rPr>
      </w:r>
      <w:r>
        <w:rPr>
          <w:rFonts w:ascii="黑体" w:hAnsi="黑体" w:eastAsia="黑体" w:cs="黑体"/>
          <w:sz w:val="18"/>
          <w:szCs w:val="18"/>
        </w:rPr>
      </w:r>
      <w:r>
        <w:rPr>
          <w:rFonts w:hint="eastAsia" w:ascii="黑体" w:hAnsi="黑体" w:eastAsia="黑体" w:cs="黑体"/>
          <w:sz w:val="18"/>
          <w:szCs w:val="18"/>
        </w:rPr>
      </w:r>
      <w:r>
        <w:rPr>
          <w:rFonts w:ascii="黑体" w:hAnsi="黑体" w:eastAsia="黑体" w:cs="黑体"/>
          <w:sz w:val="18"/>
          <w:szCs w:val="18"/>
        </w:rPr>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眩光抑制不均匀：GARC在极端强点光源（如机械探照灯）附近的高光抑制能力仍有提升空间，LUCIDMine眩光代理为0.161（表3），在M1缆线眩光场景Vis（0.684，表6）位居最优，但与CLAHE（0.669）差距最小，提示极端高动态照明场景仍有提升空间。</w:t>
      </w:r>
      <w:r>
        <w:rPr>
          <w:b/>
          <w:bCs/>
        </w:rPr>
      </w:r>
      <w:r/>
    </w:p>
    <w:p w14:paraId="11661338">
      <w:pPr>
        <w:spacing w:after="40" w:line="300" w:lineRule="auto"/>
        <w:ind w:left="420" w:hanging="420"/>
      </w:pPr>
      <w:r>
        <w:t>（2）数据集地域局限：当前数据集来自两座煤矿，不同矿种（硬岩矿山、金属矿山等）、摄像机型号、镜头污染状态与季节工况下的泛化能力有待进一步系统验证。</w:t>
      </w:r>
      <w:r>
        <w:rPr>
          <w:b/>
          <w:bCs/>
        </w:rPr>
      </w:r>
      <w:r/>
      <w:r>
        <w:rPr>
          <w:rFonts w:hint="eastAsia"/>
        </w:rPr>
      </w:r>
      <w:r/>
      <w:r>
        <w:rPr>
          <w:rFonts w:hint="eastAsia"/>
        </w:rPr>
      </w:r>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表明，当训练标注稀缺且退化物理机制明确时，显式领域物理先验注入比端到端重训练更高效、更可解释、迁移更安全。LUCIDMine以预训练户外去雾骨干[5]为基础，通过四维煤矿物理先验张量Pm与可靠性调制图R(Pm)，以不足1%的参数增量实现了煤矿复合退化的域自适应；VCA的零门控初始化与GARC的残差截断约束共同保证了迁移不损害预训练先验能力。在288对真实配对测试集上，PSNR达23.42 dB、SSIM达0.956，较最新开源基线AdaIR（代理集，ICLR 2025）[35]分别领先2.71 dB与0.222，GPU推理时延仅增加&lt;1 ms，满足煤矿现场实时部署要求。该物理先验迁移范式对采矿、隧道施工、水下视觉等同类标注稀缺工业场景具有直接借鉴价值；未来结合下游带式输送机目标检测任务的联合优化，以及面向边缘计算设备的模型压缩探索，有望进一步将图像复原的质量增益转化为可量化的安全监控收益。</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XIANG L,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ANCUTI C O,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28(1):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TIAN F, GAO L, ZHANG J. An image dehazing algorithm for underground coal mines based on gUNet[J]. Sensors, 2024, 24(11): 3422.</w:t>
      </w:r>
    </w:p>
    <w:p w14:paraId="6C38570E">
      <w:pPr>
        <w:spacing w:after="55" w:line="280" w:lineRule="auto"/>
        <w:ind w:left="420" w:hanging="420"/>
      </w:pPr>
      <w:r>
        <w:t>[34]  YAN Z, LI Y, WANG H, et al. Task-aware low-light image enhancement method for underground coal mine monitoring[J]. Sensors, 2026, 26(6): 1886.</w:t>
      </w:r>
    </w:p>
    <w:p>
      <w:r>
        <w:t>[35] CUI Y, ZAMIR S W, KHAN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