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评价得分0.909，优于公开RIDCP （0.899）；通过选取30幅质量差的图像实验，峰值信噪比（PSNR）达23.11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w:t>
      </w:r>
      <w:r>
        <w:rPr>
          <w:rFonts w:hint="eastAsia"/>
        </w:rPr>
        <w:t>煤矿</w:t>
      </w:r>
      <w:r>
        <w:t>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xml:space="preserve">, </w:t>
      </w:r>
      <w:r>
        <w:rPr>
          <w:rFonts w:ascii="Times New Roman" w:hAnsi="Times New Roman" w:eastAsia="Times New Roman" w:cs="Times New Roman"/>
          <w:b/>
          <w:bCs/>
          <w:i/>
          <w:iCs/>
        </w:rPr>
        <w:t>D</w:t>
      </w:r>
      <w:r>
        <w:rPr>
          <w:rFonts w:ascii="Times New Roman" w:hAnsi="Times New Roman" w:eastAsia="Times New Roman" w:cs="Times New Roman"/>
        </w:rPr>
        <w:t xml:space="preserve">, </w:t>
      </w:r>
      <w:r>
        <w:rPr>
          <w:rFonts w:ascii="Times New Roman" w:hAnsi="Times New Roman" w:eastAsia="Times New Roman" w:cs="Times New Roman"/>
          <w:b/>
          <w:bCs/>
          <w:i/>
          <w:iCs/>
        </w:rPr>
        <w:t>G</w:t>
      </w:r>
      <w:r>
        <w:rPr>
          <w:rFonts w:ascii="Times New Roman" w:hAnsi="Times New Roman" w:eastAsia="Times New Roman" w:cs="Times New Roman"/>
        </w:rPr>
        <w:t xml:space="preserve">, </w:t>
      </w:r>
      <w:r>
        <w:rPr>
          <w:rFonts w:ascii="Times New Roman" w:hAnsi="Times New Roman" w:eastAsia="Times New Roman" w:cs="Times New Roman"/>
          <w:b/>
          <w:bCs/>
          <w:i/>
          <w:iCs/>
        </w:rPr>
        <w:t>V</w:t>
      </w:r>
      <w:r>
        <w:rPr>
          <w:rFonts w:ascii="Times New Roman" w:hAnsi="Times New Roman" w:eastAsia="Times New Roman" w:cs="Times New Roman"/>
        </w:rPr>
        <w:t>]</w:t>
      </w:r>
      <w:r>
        <w:t>，在反归一化后的RGB图像空间中计算（式（2）～式（6））。</w:t>
      </w:r>
      <w:r>
        <w:rPr>
          <w:rFonts w:ascii="Times New Roman" w:hAnsi="Times New Roman" w:eastAsia="Times New Roman" w:cs="Times New Roman"/>
          <w:b/>
          <w:bCs/>
          <w:i/>
          <w:iCs/>
        </w:rPr>
        <w:t>Y</w:t>
      </w:r>
      <w:r>
        <w:t>为BT.601标准亮度图，描述局部曝光；</w:t>
      </w:r>
      <w:r>
        <w:rPr>
          <w:rFonts w:ascii="Times New Roman" w:hAnsi="Times New Roman" w:eastAsia="Times New Roman" w:cs="Times New Roman"/>
          <w:b/>
          <w:bCs/>
          <w:i/>
          <w:iCs/>
        </w:rPr>
        <w:t>D</w:t>
      </w:r>
      <w:r>
        <w:t>为暗通道图，标记散射主导或阴影区域；</w:t>
      </w:r>
      <w:r>
        <w:rPr>
          <w:rFonts w:ascii="Times New Roman" w:hAnsi="Times New Roman" w:eastAsia="Times New Roman" w:cs="Times New Roman"/>
          <w:b/>
          <w:bCs/>
          <w:i/>
          <w:iCs/>
        </w:rPr>
        <w:t>G</w:t>
      </w:r>
      <w:r>
        <w:t>为眩光图，捕捉灯光与反射体附近的通道不均衡（式（4）中左侧G为眩光先验图，式右侧R、G、B为输入图像的红、绿、蓝通道值）；</w:t>
      </w:r>
      <w:r>
        <w:rPr>
          <w:rFonts w:ascii="Times New Roman" w:hAnsi="Times New Roman" w:eastAsia="Times New Roman" w:cs="Times New Roman"/>
          <w:b/>
          <w:bCs/>
          <w:i/>
          <w:iCs/>
        </w:rPr>
        <w:t>V</w:t>
      </w:r>
      <w:r>
        <w:t>为低可见度图，估计弱纹理区域的对比度缺失：</w:t>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构成关于1.0对称的约束：允许最大45%的残差衰减（抑制眩光过冲）或45%的残差放大（强化低可见度区域），实现在二者之间的平衡控制。【修订注：代码实现中式(11)含调制项M(x)=(1−G(x))·(0.5+0.5·V(x))，完整公式为 S_final = clip(1 + γG·S·M(x), 0.55, 1.45)，其中M(x)在眩光区域（G→1）趋近于0抑制残差放大、在低可见度区域（V→1）趋近于1允许充分增强。式(11)的简化表述与代码不符，将在正式修订版中补充完整公式。】</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w:t>
      </w:r>
      <w:r>
        <w:rPr>
          <w:b/>
          <w:bCs/>
        </w:rPr>
        <w:t>输入原图</w:t>
      </w:r>
      <w:r>
        <w:t>：未处理的退化帧，作为退化基准；（2）</w:t>
      </w:r>
      <w:r>
        <w:rPr>
          <w:rFonts w:ascii="Times New Roman" w:hAnsi="Times New Roman" w:eastAsia="Times New Roman" w:cs="Times New Roman"/>
        </w:rPr>
        <w:t>DCP</w:t>
      </w:r>
      <w:r>
        <w:rPr>
          <w:rFonts w:ascii="Times New Roman" w:hAnsi="Times New Roman" w:eastAsia="Times New Roman" w:cs="Times New Roman"/>
          <w:sz w:val="16"/>
          <w:szCs w:val="16"/>
          <w:vertAlign w:val="superscript"/>
        </w:rPr>
        <w:t>[1]</w:t>
      </w:r>
      <w:r>
        <w:t>：暗通道先验（局部窗口15×15，引导滤波透射率精炼，透射率下限0.1）；（3）</w:t>
      </w:r>
      <w:r>
        <w:rPr>
          <w:rFonts w:ascii="Times New Roman" w:hAnsi="Times New Roman" w:eastAsia="Times New Roman" w:cs="Times New Roman"/>
        </w:rPr>
        <w:t>CLAHE</w:t>
      </w:r>
      <w:r>
        <w:rPr>
          <w:rFonts w:ascii="Times New Roman" w:hAnsi="Times New Roman" w:eastAsia="Times New Roman" w:cs="Times New Roman"/>
          <w:sz w:val="16"/>
          <w:szCs w:val="16"/>
          <w:vertAlign w:val="superscript"/>
        </w:rPr>
        <w:t>[4]</w:t>
      </w:r>
      <w:r>
        <w:t>：对比度受限自适应直方图均衡（逐通道，裁剪限制</w:t>
      </w:r>
      <w:r>
        <w:rPr>
          <w:rFonts w:ascii="Times New Roman" w:hAnsi="Times New Roman" w:eastAsia="Times New Roman" w:cs="Times New Roman"/>
        </w:rPr>
        <w:t>clipLimit = 2.0</w:t>
      </w:r>
      <w:r>
        <w:t>，分块大小8×8）；（4）</w:t>
      </w:r>
      <w:r>
        <w:rPr>
          <w:rFonts w:ascii="Times New Roman" w:hAnsi="Times New Roman" w:eastAsia="Times New Roman" w:cs="Times New Roman"/>
        </w:rPr>
        <w:t>Retinex</w:t>
      </w:r>
      <w:r>
        <w:rPr>
          <w:rFonts w:ascii="Times New Roman" w:hAnsi="Times New Roman" w:eastAsia="Times New Roman" w:cs="Times New Roman"/>
          <w:sz w:val="16"/>
          <w:szCs w:val="16"/>
          <w:vertAlign w:val="superscript"/>
        </w:rPr>
        <w:t>[3]</w:t>
      </w:r>
      <w:r>
        <w:t>：多尺度Retinex（高斯尺度15/80/250像素，颜色恢复因子125）；（5）</w:t>
      </w:r>
      <w:r>
        <w:rPr>
          <w:rFonts w:ascii="Times New Roman" w:hAnsi="Times New Roman" w:eastAsia="Times New Roman" w:cs="Times New Roman"/>
        </w:rPr>
        <w:t>RIDCP</w:t>
      </w:r>
      <w:r>
        <w:rPr>
          <w:rFonts w:ascii="Times New Roman" w:hAnsi="Times New Roman" w:eastAsia="Times New Roman" w:cs="Times New Roman"/>
          <w:sz w:val="16"/>
          <w:szCs w:val="16"/>
          <w:vertAlign w:val="superscript"/>
        </w:rPr>
        <w:t>[2]</w:t>
      </w:r>
      <w:r>
        <w:t>：码本先验真实图像去雾，使用官方公开权重，不进行</w:t>
      </w:r>
      <w:r>
        <w:rPr>
          <w:rFonts w:hint="eastAsia"/>
        </w:rPr>
        <w:t>煤矿</w:t>
      </w:r>
      <w:r>
        <w:t>域微调，作为最强公开神经网络基线；（6）</w:t>
      </w:r>
      <w:r>
        <w:rPr>
          <w:b/>
          <w:bCs/>
        </w:rPr>
        <w:t>骨干基线（Foundation）</w:t>
      </w:r>
      <w:r>
        <w:t>：预训练骨干网络不加VCA/GARC的零样本应用，作为内部对照，用于量化</w:t>
      </w:r>
      <w:r>
        <w:rPr>
          <w:rFonts w:hint="eastAsia"/>
        </w:rPr>
        <w:t>煤矿</w:t>
      </w:r>
      <w:r>
        <w:t>先验适配的净增益（非独立竞争方法）；（7）</w:t>
      </w:r>
      <w:r>
        <w:rPr>
          <w:rFonts w:ascii="Times New Roman" w:hAnsi="Times New Roman" w:eastAsia="Times New Roman" w:cs="Times New Roman"/>
          <w:b/>
          <w:bCs/>
        </w:rPr>
        <w:t>LUCIDMine</w:t>
      </w:r>
      <w:r>
        <w:t>（本文）：在1920对</w:t>
      </w:r>
      <w:r>
        <w:rPr>
          <w:rFonts w:hint="eastAsia"/>
        </w:rPr>
        <w:t>煤矿</w:t>
      </w:r>
      <w:r>
        <w:t>图像上完成两阶段自适应训练的完整框架。</w:t>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 xml:space="preserve">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G（FLOPs均在[XXX×YYY]分辨率单帧输入下用thop计算，作者需补充具体分辨率），GPU推理时延由36.5 </w:t>
      </w:r>
      <w:r>
        <w:rPr>
          <w:rFonts w:ascii="Times New Roman" w:hAnsi="Times New Roman" w:eastAsia="Times New Roman" w:cs="Times New Roman"/>
        </w:rPr>
        <w:t>ms</w:t>
      </w:r>
      <w:r>
        <w:t xml:space="preserve">增至37.3 </w:t>
      </w:r>
      <w:r>
        <w:rPr>
          <w:rFonts w:ascii="Times New Roman" w:hAnsi="Times New Roman" w:eastAsia="Times New Roman" w:cs="Times New Roman"/>
        </w:rPr>
        <w:t>ms</w:t>
      </w:r>
      <w:r>
        <w:t xml:space="preserve">（增量&lt;1 </w:t>
      </w:r>
      <w:r>
        <w:rPr>
          <w:rFonts w:ascii="Times New Roman" w:hAnsi="Times New Roman" w:eastAsia="Times New Roman" w:cs="Times New Roman"/>
        </w:rPr>
        <w:t>ms</w:t>
      </w:r>
      <w:r>
        <w:t>），在NVIDIA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w:t>
      </w:r>
      <w:r>
        <w:rPr>
          <w:rFonts w:hint="eastAsia"/>
        </w:rPr>
        <w:t>煤矿</w:t>
      </w:r>
      <w:r>
        <w:t>灯光场景下系统性失效，PSNR仅15.92 dB，暗度代理高达0.409（表3），可见度得分跌至0.812；CLAHE的SSIM最低（0.805），表明其局部直方图修正与真实参考存在较大结构偏差；Retinex的SSIM仅0.681，色调调整引入系统性偏差；RIDCP作为最强公开基线达到20.74 dB，但其未针对</w:t>
      </w:r>
      <w:r>
        <w:rPr>
          <w:rFonts w:hint="eastAsia"/>
        </w:rPr>
        <w:t>煤矿</w:t>
      </w:r>
      <w:r>
        <w:t>眩光建模，与LUCIDMine仍有2.68 dB差距。</w:t>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注：↑表示越大越好，↓表示越小越好。骨干基线为内部对照，非独立竞争方法。↑越大越好，↓越小越好。骨干基线为内部对照，非独立竞争方法。†AdaIR(ICLR 2025)为RIDCP开源替代基线；值来自代理集(n=152,448×256)，与本表其他方法（288对真实测试集）不直接可比，仅供评估方法可访问性参考。LUCIDMine相对AdaIR代理集：PSNR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w:t>
      </w:r>
      <w:r>
        <w:t>的核心设计优势在于：（1）物理可解释性——四维先验张量（亮度、暗通道、眩光、低可见度）直接对应</w:t>
      </w:r>
      <w:r>
        <w:rPr>
          <w:rFonts w:hint="eastAsia"/>
        </w:rPr>
        <w:t>煤矿</w:t>
      </w:r>
      <w:r>
        <w:t>退化的物理来源，模型行为可通过先验图直接分析；（2）高效迁移性——参数增幅&lt;1%，零门控初始化保证迁移安全；（3）可解释的失效分析——先验图同时可作为</w:t>
      </w:r>
      <w:r>
        <w:rPr>
          <w:rFonts w:hint="eastAsia"/>
        </w:rPr>
        <w:t>煤矿</w:t>
      </w:r>
      <w:r>
        <w:t>场景退化诊断工具，为操作人员提供量化的场景质量分析。这些特性使LUCIDMine不仅是一个复原算法，也是一个面向井下监控的可解释视觉增强框架。</w:t>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w:t>
      </w:r>
      <w:r>
        <w:rPr>
          <w:rFonts w:hint="eastAsia"/>
        </w:rPr>
        <w:t>煤矿</w:t>
      </w:r>
      <w:r>
        <w:t>图像的端到端复原框架LUCIDMine。该框架以多尺度残差编解码主干为核心，针对煤矿复合退化引入两个</w:t>
      </w:r>
      <w:r>
        <w:rPr>
          <w:rFonts w:hint="eastAsia"/>
        </w:rPr>
        <w:t>煤矿</w:t>
      </w:r>
      <w:r>
        <w:t>定制控制模块：可见度条件化瓶颈适配模块（VCA）通过零门控残差路径将四维</w:t>
      </w:r>
      <w:r>
        <w:rPr>
          <w:rFonts w:hint="eastAsia"/>
        </w:rPr>
        <w:t>煤矿</w:t>
      </w:r>
      <w:r>
        <w:t>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w:t>
      </w:r>
      <w:r>
        <w:rPr>
          <w:rFonts w:hint="eastAsia"/>
        </w:rPr>
        <w:t>煤矿</w:t>
      </w:r>
      <w:r>
        <w:t>配对图像上完成两阶段有监督训练。在288对真实配对测试集上，LUCIDMine的PSNR为23.42 dB，SSIM为0.956，较最强公开基线RIDCP分别提升2.68 dB与0.031；模型参数增幅&lt;1%，GPU时延增加&lt;1 ms，满足</w:t>
      </w:r>
      <w:r>
        <w:rPr>
          <w:rFonts w:hint="eastAsia"/>
        </w:rPr>
        <w:t>煤矿</w:t>
      </w:r>
      <w:r>
        <w:t>现场实时处理需求。消融实验验证了VCA（+2.81 dB PSNR）与GARC协同的有效性。该框架为标注数据稀缺的</w:t>
      </w:r>
      <w:r>
        <w:rPr>
          <w:rFonts w:hint="eastAsia"/>
        </w:rPr>
        <w:t>煤矿</w:t>
      </w:r>
      <w:r>
        <w:t>场景提供了一条计算高效、物理可解释、迁移安全的图像复原路径，在</w:t>
      </w:r>
      <w:r>
        <w:rPr>
          <w:rFonts w:hint="eastAsia"/>
        </w:rPr>
        <w:t>煤矿带式输送机目标检测</w:t>
      </w:r>
      <w:r>
        <w:t>的视觉增强领域具有较强的实用价值与方法扩展潜力。</w:t>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