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注：↑表示越大越好，↓表示越小越好。骨干基线为内部对照，非独立竞争方法。↑越大越好，↓越小越好。骨干基线为内部对照，非独立竞争方法。†AdaIR(ICLR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w:t>
      </w:r>
      <w:r>
        <w:t>的核心设计优势在于：（1）物理可解释性——四维先验张量（亮度、暗通道、眩光、低可见度）直接对应</w:t>
      </w:r>
      <w:r>
        <w:rPr>
          <w:rFonts w:hint="eastAsia"/>
        </w:rPr>
        <w:t>煤矿</w:t>
      </w:r>
      <w:r>
        <w:t>退化的物理来源，模型行为可通过先验图直接分析；（2）高效迁移性——参数增幅&lt;1%，零门控初始化保证迁移安全；（3）可解释的失效分析——先验图同时可作为</w:t>
      </w:r>
      <w:r>
        <w:rPr>
          <w:rFonts w:hint="eastAsia"/>
        </w:rPr>
        <w:t>煤矿</w:t>
      </w:r>
      <w:r>
        <w:t>场景退化诊断工具，为操作人员提供量化的场景质量分析。这些特性使LUCIDMine不仅是一个复原算法，也是一个面向井下监控的可解释视觉增强框架。</w:t>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