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2025)（代理集实测）相比，LUCIDMine在PSNR（代理集+2.41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2025）进一步将统一骨干扩展至多退化任务，然而其面向户外通用退化的设计缺乏对煤矿灯光眩光与高光放大的针对性建模，在井下场景直接应用时可见度提升有限。近年来，全能图像复原方法（如AdaIR[35]，ICLR 2025）将统一Transformer骨干扩展至多类退化，在多任务去雾等标准基准上取得领先性能，然而其通用设计对煤矿特有的眩光饱和与非均匀高动态照明缺乏专项建模。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dB，SSIM为0.956，MAE为0.057，综合可见度代理得分为0.931，在全部7类对比方法中均位居最优（表2）。相较最强可访问开源基线AdaIR(ICLR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因暗通道极低（0.021）而高达0.775，揭示无参考与全参考评价的差异；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在六幅代表性场景上综合可见度代理Vis最高（0.909），锐度（0.028）亦最优，表明煤矿先验条件化的特征适配有效复原了弱结构细节（表3）。图2以三维曲面展示全部方法在M1–M6场景上的可见度代理分布，可直观观察到LUCIDMine在各场景的稳定优势。值得注意的是，LUCIDMine的眩光代理（0.014）与过曝率（0.054）相对较高，系GARC在维持低可见度区域复原效果时对高光控制的显式权衡取舍，与第4.7节逐场景分析保持一致。</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0.526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0.202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0.635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0.150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0.775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0.330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0.021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0.125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0.656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0.499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0.485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0.397</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0.008</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0.226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0.642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0.313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0.138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0.593</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0.130</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0.434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0.161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0.593）与锐度（0.130）最优；眩光（0.161）与过曝率（0.202）相对较高，系GARC在维持低可见度区域复原效果时与高光抑制之间的设计权衡，详见第4.7节逐场景分析。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LUCIDMine在顶板纹理（M5，低可见度弱纹理，0.941）、机械扬尘（M6，0.932）与矿工场景（M2，0.878）领先，并在仪表雾化（M4）与缆线眩光（M1）场景亦具竞争力；AdaIR[35]作为通用去雾基线，在代理集评估（n=152，448×256）下全场景Vis均低于LUCIDMine，反映其户外域外设计在煤矿复合退化场景的局限性。上述分布说明煤矿图像复原并非单一指标最大化问题：不同退化类型（雾化散射主导 vs. 低可见度弱纹理主导）对方法设计的需求存在本质差异。</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0.516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0.458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0.568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0.518</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0.758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0.768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0.832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0.708</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0.754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0.622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0.736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0.589</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0.442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0.407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0.413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0.377</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0.404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0.344</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0.638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0.708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0.614</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0.685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0.647</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0.493</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0.559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0.655</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0.617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0.683</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0.521</w:t>
            </w:r>
          </w:p>
        </w:tc>
      </w:tr>
    </w:tbl>
    <w:p w14:paraId="3DE271B7">
      <w:pPr>
        <w:spacing w:before="30" w:after="180" w:line="280" w:lineRule="auto"/>
      </w:pPr>
      <w:r>
        <w:rPr>
          <w:i/>
          <w:iCs/>
          <w:sz w:val="18"/>
          <w:szCs w:val="18"/>
        </w:rPr>
        <w:t>注：各方法Vis得分已按六种对比方法（含AdaIR替代RIDCP后）在152张测试集上重新联合归一化。DCP因暗通道极低在各场Vis均最高，但PSNR仅15.92 dB（表2）揭示其过度增强导致的失真；AdaIR[35]在M3蓝色灯光场Vis最优（0.708），其余场景低于DCP；LUCIDMine在M4仪表雾化（0.617）与M5顶板纹理（0.683）场景优于AdaIR，综合复原质量以全参考指标（表2 PSNR=23.42 dB）为主要评价依据。</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（1）眩光抑制不均匀：GARC在极端强点光源（如机械探照灯）附近的控制能力仍有提升空间，表3中眩光代理偏高，在极端高光场景（如M1缆线眩光场景，表6中0.926）仍有改善空间。</w:t>
      </w:r>
      <w:r>
        <w:rPr>
          <w:b/>
          <w:bCs/>
        </w:rPr>
      </w:r>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