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各方法的失效模式呈现显著差异：DCP因暗通道假设在煤矿灯光场景下系统性失效，PSNR仅15.92 dB，暗度代理高达0.409（表3），可见度得分跌至0.812；CLAHE的SSIM最低（0.805），表明其局部直方图修正与真实参考存在较大结构偏差；Retinex的SSIM仅0.681，色调调整引入系统性偏差；AdaIR(ICLR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在六幅代表性场景上综合可见度代理Vis最高（0.909），锐度（0.028）亦最优，表明煤矿先验条件化的特征适配有效复原了弱结构细节（表3）。图2以三维曲面展示全部方法在M1–M6场景上的可见度代理分布，可直观观察到LUCIDMine在各场景的稳定优势。值得注意的是，LUCIDMine的眩光代理（0.014）与过曝率（0.054）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相对较高，系GARC在维持低可见度区域复原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LUCIDMine在顶板纹理（M5，低可见度弱纹理，0.941）、机械扬尘（M6，0.932）与矿工场景（M2，0.878）领先，并在仪表雾化（M4）与缆线眩光（M1）场景亦具竞争力；AdaIR[35]作为通用去雾基线，在代理集评估（n=152，448×256）下全场景Vis均低于LUCIDMine，反映其户外域外设计在煤矿复合退化场景的局限性。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注：LUCIDMine在顶板纹理（M5）与机械扬尘（M6）场景领先；AdaIR[35]（代理集实测）整体Vis偏低，反映通用去雾模型在煤矿特有照明退化下的域差距。结果表明不同退化类型对方法设计有不同要求。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（1）眩光抑制不均匀：GARC在极端强点光源（如机械探照灯）附近的控制能力仍有提升空间，表3中眩光代理偏高，在极端高光场景（如M1缆线眩光场景，表6中0.926）仍有改善空间。</w:t>
      </w:r>
      <w:r>
        <w:rPr>
          <w:b/>
          <w:bCs/>
        </w:rPr>
      </w:r>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