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该方法峰值信噪比（PSNR）、结构相似度（SSIM）、平均绝对误差（MAE）综合可见度代理得分0.909；与最新开源基线AdaIR(ICLR 2025)（代理集实测）相比，LUCIDMine在PSNR（代理集+2.41 dB）与SSIM方面均领先；通过选取30幅质量差的图像实验，峰值信噪比（PSNR）达23.11 dB，结构相似性指数（SSIM）达0.954；通过任意选取192幅图像实验，PSNR为21.87 dB，SSIM为0.941，均优于所有对比方法，并进行消融实验，验证了VCA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现有图像增强方法大体可分为三类：基于物理先验的经典方法、基于深度学习的端到端网络，以及面向低光增强的Retinex系列方法。暗通道先验（Dark Channel Prior，DCP）</w:t>
      </w:r>
      <w:r>
        <w:rPr>
          <w:rFonts w:ascii="Times New Roman" w:hAnsi="Times New Roman" w:eastAsia="Times New Roman" w:cs="Times New Roman"/>
          <w:sz w:val="19"/>
          <w:szCs w:val="19"/>
          <w:vertAlign w:val="superscript"/>
        </w:rPr>
        <w:t>[1]</w:t>
      </w:r>
      <w:r>
        <w:t>揭示了无雾户外图像颜色通道局部最小值趋近于零的统计规律，奠定了物理模型去雾的基础；Tarel与Hautiere</w:t>
      </w:r>
      <w:r>
        <w:rPr>
          <w:rFonts w:ascii="Times New Roman" w:hAnsi="Times New Roman" w:eastAsia="Times New Roman" w:cs="Times New Roman"/>
          <w:sz w:val="19"/>
          <w:szCs w:val="19"/>
          <w:vertAlign w:val="superscript"/>
        </w:rPr>
        <w:t>[10]</w:t>
      </w:r>
      <w:r>
        <w:t>提出快速中值滤波可见度恢复方法；Berman等</w:t>
      </w:r>
      <w:r>
        <w:rPr>
          <w:rFonts w:ascii="Times New Roman" w:hAnsi="Times New Roman" w:eastAsia="Times New Roman" w:cs="Times New Roman"/>
          <w:sz w:val="19"/>
          <w:szCs w:val="19"/>
          <w:vertAlign w:val="superscript"/>
        </w:rPr>
        <w:t>[9]</w:t>
      </w:r>
      <w:r>
        <w:t>将去雾先验扩展至颜色空间非局部雾线。限制对比度自适应直方图均衡化（CLAHE）</w:t>
      </w:r>
      <w:r>
        <w:rPr>
          <w:rFonts w:ascii="Times New Roman" w:hAnsi="Times New Roman" w:eastAsia="Times New Roman" w:cs="Times New Roman"/>
          <w:sz w:val="19"/>
          <w:szCs w:val="19"/>
          <w:vertAlign w:val="superscript"/>
        </w:rPr>
        <w:t>[4]</w:t>
      </w:r>
      <w:r>
        <w:t>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p>
    <w:p w14:paraId="399B8273">
      <w:pPr>
        <w:spacing w:line="360" w:lineRule="auto"/>
        <w:ind w:firstLine="420"/>
      </w:pPr>
      <w:r>
        <w:t>基于深度学习的端到端网络通过大型配对数据集实现端到端映射，在户外基准上取得显著进展。多尺度卷积去雾网络</w:t>
      </w:r>
      <w:r>
        <w:rPr>
          <w:rFonts w:ascii="Times New Roman" w:hAnsi="Times New Roman" w:eastAsia="Times New Roman" w:cs="Times New Roman"/>
          <w:sz w:val="19"/>
          <w:szCs w:val="19"/>
          <w:vertAlign w:val="superscript"/>
        </w:rPr>
        <w:t>[11,16]</w:t>
      </w:r>
      <w:r>
        <w:t>、DehazeNet</w:t>
      </w:r>
      <w:r>
        <w:rPr>
          <w:rFonts w:ascii="Times New Roman" w:hAnsi="Times New Roman" w:eastAsia="Times New Roman" w:cs="Times New Roman"/>
          <w:sz w:val="19"/>
          <w:szCs w:val="19"/>
          <w:vertAlign w:val="superscript"/>
        </w:rPr>
        <w:t>[12]</w:t>
      </w:r>
      <w:r>
        <w:t>、AOD-Net</w:t>
      </w:r>
      <w:r>
        <w:rPr>
          <w:rFonts w:ascii="Times New Roman" w:hAnsi="Times New Roman" w:eastAsia="Times New Roman" w:cs="Times New Roman"/>
          <w:sz w:val="19"/>
          <w:szCs w:val="19"/>
          <w:vertAlign w:val="superscript"/>
        </w:rPr>
        <w:t>[14]</w:t>
      </w:r>
      <w:r>
        <w:t>、FFA-Net</w:t>
      </w:r>
      <w:r>
        <w:rPr>
          <w:rFonts w:ascii="Times New Roman" w:hAnsi="Times New Roman" w:eastAsia="Times New Roman" w:cs="Times New Roman"/>
          <w:sz w:val="19"/>
          <w:szCs w:val="19"/>
          <w:vertAlign w:val="superscript"/>
        </w:rPr>
        <w:t>[15]</w:t>
      </w:r>
      <w:r>
        <w:t>等方法持续提升公开基准性能；域自适应去雾方法</w:t>
      </w:r>
      <w:r>
        <w:rPr>
          <w:rFonts w:ascii="Times New Roman" w:hAnsi="Times New Roman" w:eastAsia="Times New Roman" w:cs="Times New Roman"/>
          <w:sz w:val="19"/>
          <w:szCs w:val="19"/>
          <w:vertAlign w:val="superscript"/>
        </w:rPr>
        <w:t>[20,21]</w:t>
      </w:r>
      <w:r>
        <w:t>针对合成域到真实域的迁移问题提出了新范式。基于视觉变换器的方法（Restormer</w:t>
      </w:r>
      <w:r>
        <w:rPr>
          <w:rFonts w:ascii="Times New Roman" w:hAnsi="Times New Roman" w:eastAsia="Times New Roman" w:cs="Times New Roman"/>
          <w:sz w:val="19"/>
          <w:szCs w:val="19"/>
          <w:vertAlign w:val="superscript"/>
        </w:rPr>
        <w:t>[6]</w:t>
      </w:r>
      <w:r>
        <w:t>、SwinIR</w:t>
      </w:r>
      <w:r>
        <w:rPr>
          <w:rFonts w:ascii="Times New Roman" w:hAnsi="Times New Roman" w:eastAsia="Times New Roman" w:cs="Times New Roman"/>
          <w:sz w:val="19"/>
          <w:szCs w:val="19"/>
          <w:vertAlign w:val="superscript"/>
        </w:rPr>
        <w:t>[7]</w:t>
      </w:r>
      <w:r>
        <w:t>、DehazeFormer</w:t>
      </w:r>
      <w:r>
        <w:rPr>
          <w:rFonts w:ascii="Times New Roman" w:hAnsi="Times New Roman" w:eastAsia="Times New Roman" w:cs="Times New Roman"/>
          <w:sz w:val="19"/>
          <w:szCs w:val="19"/>
          <w:vertAlign w:val="superscript"/>
        </w:rPr>
        <w:t>[17]</w:t>
      </w:r>
      <w:r>
        <w:t>）进一步提升了复杂场景的复原质量。基于高质量码本先验的RIDCP</w:t>
      </w:r>
      <w:r>
        <w:rPr>
          <w:rFonts w:ascii="Times New Roman" w:hAnsi="Times New Roman" w:eastAsia="Times New Roman" w:cs="Times New Roman"/>
          <w:sz w:val="19"/>
          <w:szCs w:val="19"/>
          <w:vertAlign w:val="superscript"/>
        </w:rPr>
        <w:t>[2]</w:t>
      </w:r>
      <w:r>
        <w:t>在真实图像去雾上达到领先性能，然而其设计面向户外雾霾场景，缺乏对煤矿灯光眩光与高光放大的针对性建模，在井下场景直接应用时可见度提升有限。近年来，针对煤矿图像的专项深度学习方法相继提出[33,34]，然而均聚焦于单一退化类型——或去雾，或低光增强，尚未对煤矿灯光眩光、粉尘散射与低照度三类退化的耦合叠加实施统一建模。</w:t>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绿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clip(1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w:t>
            </w:r>
            <w:r>
              <w:rPr>
                <w:rFonts w:ascii="Times New Roman" w:hAnsi="Times New Roman" w:eastAsia="Times New Roman" w:cs="Times New Roman"/>
                <w:b/>
                <w:bCs/>
                <w:i/>
                <w:iCs/>
              </w:rPr>
              <w:t>S</w:t>
            </w:r>
            <w:r>
              <w:rPr>
                <w:rFonts w:ascii="Times New Roman" w:hAnsi="Times New Roman" w:eastAsia="Times New Roman" w:cs="Times New Roman"/>
              </w:rPr>
              <w:t>,  0.55,  1.45)</w:t>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ℝH×W×3为逐像素逐通道学习尺度。式（11）包含场景调制项M(x)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w:t>
      </w:r>
      <w:r>
        <w:rPr>
          <w:rFonts w:hint="eastAsia"/>
        </w:rPr>
        <w:t>煤矿</w:t>
      </w:r>
      <w:r>
        <w:t>图像数据集。图像由固定安装于</w:t>
      </w:r>
      <w:r>
        <w:rPr>
          <w:rFonts w:hint="eastAsia"/>
        </w:rPr>
        <w:t>煤矿</w:t>
      </w:r>
      <w:r>
        <w:t>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w:t>
      </w:r>
      <w:r>
        <w:rPr>
          <w:rFonts w:hint="eastAsia"/>
        </w:rPr>
        <w:t>煤矿</w:t>
      </w:r>
      <w:r>
        <w:t>退化模式：缆线侧灯光眩光（M1）、矿工反光背心活动区（M2）、绿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w:t>
      </w:r>
      <w:r>
        <w:rPr>
          <w:rFonts w:ascii="Times New Roman" w:hAnsi="Times New Roman" w:eastAsia="Times New Roman" w:cs="Times New Roman"/>
          <w:i/>
          <w:iCs/>
        </w:rPr>
        <w:t>C̃</w:t>
      </w:r>
      <w:r>
        <w:t>、归一化Shannon熵</w:t>
      </w:r>
      <w:r>
        <w:rPr>
          <w:rFonts w:ascii="Times New Roman" w:hAnsi="Times New Roman" w:eastAsia="Times New Roman" w:cs="Times New Roman"/>
          <w:i/>
          <w:iCs/>
        </w:rPr>
        <w:t>Ẽ</w:t>
      </w:r>
      <w:r>
        <w:t>、归一化暗度</w:t>
      </w:r>
      <w:r>
        <w:rPr>
          <w:rFonts w:ascii="Times New Roman" w:hAnsi="Times New Roman" w:eastAsia="Times New Roman" w:cs="Times New Roman"/>
          <w:i/>
          <w:iCs/>
        </w:rPr>
        <w:t>D̃</w:t>
      </w:r>
      <w:r>
        <w:t>、归一化眩光</w:t>
      </w:r>
      <w:r>
        <w:rPr>
          <w:rFonts w:ascii="Times New Roman" w:hAnsi="Times New Roman" w:eastAsia="Times New Roman" w:cs="Times New Roman"/>
          <w:i/>
          <w:iCs/>
        </w:rPr>
        <w:t>G̃</w:t>
      </w:r>
      <w:r>
        <w:t>与归一化梯度锐度</w:t>
      </w:r>
      <w:r>
        <w:rPr>
          <w:rFonts w:ascii="Times New Roman" w:hAnsi="Times New Roman" w:eastAsia="Times New Roman" w:cs="Times New Roman"/>
          <w:i/>
          <w:iCs/>
        </w:rPr>
        <w:t>S̃</w:t>
      </w:r>
      <w:r>
        <w:t>均归一化至</w:t>
      </w:r>
      <w:r>
        <w:rPr>
          <w:rFonts w:ascii="Times New Roman" w:hAnsi="Times New Roman" w:eastAsia="Times New Roman" w:cs="Times New Roman"/>
        </w:rPr>
        <w:t>[0,1]</w:t>
      </w:r>
      <w:r>
        <w:t>，权重分别为</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0.25,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 xml:space="preserve"> = 0.20,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rPr>
        <w:t xml:space="preserve"> = 0.15</w:t>
      </w:r>
      <w:r>
        <w:t>，对比度与熵各占25%权重，暗度抑制、眩光抑制与锐度各占20%和15%。注意此处评估指标</w:t>
      </w:r>
      <w:r>
        <w:rPr>
          <w:rFonts w:ascii="Times New Roman" w:hAnsi="Times New Roman" w:eastAsia="Times New Roman" w:cs="Times New Roman"/>
        </w:rPr>
        <w:t>Vis</w:t>
      </w:r>
      <w:r>
        <w:t>与式（5）中低可见度先验图</w:t>
      </w:r>
      <w:r>
        <w:rPr>
          <w:rFonts w:ascii="Times New Roman" w:hAnsi="Times New Roman" w:eastAsia="Times New Roman" w:cs="Times New Roman"/>
          <w:b/>
          <w:bCs/>
          <w:i/>
          <w:iCs/>
        </w:rPr>
        <w:t>V</w:t>
      </w:r>
      <w:r>
        <w:t>为不同概念，以不同符号加以区分。各子指标具体定义如下（均在归一化RGB图像空间[0,1]计算）：对比度C采用局部Michelson对比度（15×15窗口均值，C = mean((max_ch−min_ch)/(max_ch+min_ch+ε))）；熵Ẽ为灰度图（BT.601加权）256-bin直方图的Shannon熵；暗度D̃为各像素最小通道值经15×15均值滤波后的全图均值；眩光G̃为任一通道超过0.95的像素占比；锐度S̃为灰度图Laplacian算子输出方差。五项子指标在同批次所有对比方法的全部测试图像上联合min-max归一化，确保比较公平性。</w:t>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RIDCP [2]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9.86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72.4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18.6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53.8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1840</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ms。FLOPs以thop库测量；原文报告值（48.7 G/49.6 G）对应原测量分辨率，在1920×1088（1080p）全分辨率下实测约88.5 G，随分辨率线性缩放，不影响相对增量比较。</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w:t>
      </w:r>
      <w:r>
        <w:t>在288对真实配对测试集上的PSNR为23.42 dB，SSIM为0.956，MAE为0.057，综合可见度代理得分为0.931，在全部7类对比方法中均位居最优（表2）。相较最强可访问开源基线AdaIR(ICLR 2025)（代理集实测）：PSNR提升2.41 dB（20.71→23.12 dB），SSIM提升0.171（0.734→0.905），MAE降低0.017（0.076→0.059）；相较骨干基线（无VCA/GARC）：PSNR提升0.56 dB，可见度代理提升0.013，验证了</w:t>
      </w:r>
      <w:r>
        <w:rPr>
          <w:rFonts w:hint="eastAsia"/>
        </w:rPr>
        <w:t>煤矿</w:t>
      </w:r>
      <w:r>
        <w:t>先验自适应的有效性。</w:t>
      </w:r>
    </w:p>
    <w:p w14:paraId="19213D8F">
      <w:pPr>
        <w:spacing w:line="300" w:lineRule="auto"/>
        <w:ind w:firstLine="420"/>
      </w:pPr>
      <w:r>
        <w:t>各方法的失效模式呈现显著差异：DCP因暗通道假设在煤矿灯光场景下系统性失效，PSNR仅15.92 dB，暗度代理高达0.409（表3），可见度得分跌至0.812；CLAHE的SSIM最低（0.805），表明其局部直方图修正与真实参考存在较大结构偏差；Retinex的SSIM仅0.681，色调调整引入系统性偏差；AdaIR(ICLR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dB，但其户外通用设计未针对煤矿眩光建模，与LUCIDMine（代理集：23.12 dB）相差2.41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2025)为RIDCP开源替代基线；值来自代理集(n=152,448×256)，与本表其他方法（288对真实测试集）不直接可比，仅供评估方法可访问性参考。LUCIDMine相对AdaIR代理集：PSNR +2.41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LUCIDMine</w:t>
      </w:r>
      <w:r>
        <w:t>在六幅代表性场景上综合可见度代理Vis最高（0.909），锐度（0.028）亦最优，表明</w:t>
      </w:r>
      <w:r>
        <w:rPr>
          <w:rFonts w:hint="eastAsia"/>
        </w:rPr>
        <w:t>煤矿</w:t>
      </w:r>
      <w:r>
        <w:t>先验条件化的特征适配有效增强了弱结构细节（表3）。图2以三维曲面展示全部方法在M1–M6场景上的可见度代理分布，可直观观察到LUCIDMine在各场景的稳定优势。值得注意的是，LUCIDMine的眩光代理（0.014）与过曝率（0.054）略高于RIDCP（0.012，0.036），这是GARC在维持低可见度区域增强效果时对高光控制的显式权衡取舍，与第4.7节逐场景分析保持一致。</w:t>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0.896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0.190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0.894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0.077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0.008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0.047</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0.804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0.200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0.844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0.020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0.039</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0.894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0.312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0.983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0.026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0.210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0.001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0.169</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0.882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0.153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0.852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0.036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0.044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0.033</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RIDCP [2]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0.899</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0.187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0.025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0.137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0.012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0.036</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0.909</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0.196</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0.884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0.028</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0.091</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0.014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0.054</w:t>
            </w:r>
          </w:p>
        </w:tc>
      </w:tr>
    </w:tbl>
    <w:p w14:paraId="00D04061">
      <w:pPr>
        <w:spacing w:before="30" w:after="180" w:line="280" w:lineRule="auto"/>
      </w:pPr>
      <w:r>
        <w:rPr>
          <w:i/>
          <w:iCs/>
          <w:sz w:val="18"/>
          <w:szCs w:val="18"/>
        </w:rPr>
        <w:t>注：无参考代理仅供诊断参考（n=6），不具统计显著性。LUCIDMine的综合可见度Vis（0.909）与锐度（0.028）最优；眩光（0.014）与过曝率（0.054）略高于RIDCP，系GARC在维持低可见度区域增强效果时与高光抑制之间的设计权衡，详见第4.7节逐场景分析。</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与RIDCP稳定占据高可见度区域；DCP在矿工场景（M2）与绿色眩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6种方法中均位居最优（表4）。图3以圆弧剖面图直观呈现各方法在四项指标上的相对排名，LUCIDMine在三个正向指标（PSNR、SSIM、Vis）上均处于最外弧，在MAE（越小越好）上处于最内弧，排名一致。DCP与Retinex的PSNR均低于16 dB，印证了单一物理先验在</w:t>
      </w:r>
      <w:r>
        <w:rPr>
          <w:rFonts w:hint="eastAsia"/>
        </w:rPr>
        <w:t>煤矿</w:t>
      </w:r>
      <w:r>
        <w:t>复合退化下的系统性局限。</w:t>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RIDCP [2]</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20.26±1.08</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0.927±0.025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0.083±0.012</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0.924±0.027</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合成配对测试集（n=30）定量指标圆弧剖面图。各同心弧由内至外依次对应：输入原图、DCP、CLAHE、Retinex、RIDCP、LUCIDMine；PSNR/SSIM/Vis弧越长越优，MAE弧越短越优。LUCIDMine在三个正向指标上均位于最外弧。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w:t>
      </w:r>
      <w:r>
        <w:rPr>
          <w:rFonts w:hint="eastAsia"/>
        </w:rPr>
        <w:t>煤矿</w:t>
      </w:r>
      <w:r>
        <w:t>场景类型上的跨域稳定性。黄色框标注仪表盘感兴趣区域（ROI），为</w:t>
      </w:r>
      <w:r>
        <w:rPr>
          <w:rFonts w:hint="eastAsia"/>
        </w:rPr>
        <w:t>煤矿</w:t>
      </w:r>
      <w:r>
        <w:t>安全监控中需清晰辨识的关键区域。DCP在强人工照明场景中引入明显蓝-洋红色偏；CLAHE在仪表盘高光区域产生过曝截断；Retinex存在整体色调偏移；RIDCP在单纯雾化场景稳健，但在复杂混合光照下仪表刻度辨识度有限。LUCIDMine在仪表盘雾化、巷道散射与宽视角复杂场景中均保持稳健的ROI可见度与整体结构保留，体现了可见度条件化适配的跨场景稳健性。</w:t>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跨域稳定性定性对比。黄色框标注仪表盘ROI关键区域。三组不同类型场景中，中间行依次为DCP/CLAHE/Retinex/RIDCP的输出，底行为LUCIDMine输出。LUCIDMine在各场景类型下均保持清晰的ROI可见度与整体结构保留。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RIDCP在仪表雾化（M4，雾霾散射主导，0.943）与缆线眩光（M1，0.931）场景领先，反映码本先验在雾化主导场景的内在优势；LUCIDMine在顶板纹理（M5，低可见度弱纹理，0.941）与矿工场景（M2，0.878）领先，并在绿色灯光（M3）与机械扬尘（M6）场景与RIDCP并列最优。上述分布说明</w:t>
      </w:r>
      <w:r>
        <w:rPr>
          <w:rFonts w:hint="eastAsia"/>
        </w:rPr>
        <w:t>煤矿</w:t>
      </w:r>
      <w:r>
        <w:t>图像增强并非单一指标最大化问题：不同退化类型（雾化散射主导 vs. 低可见度弱纹理主导）对方法设计的需求存在本质差异。</w:t>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M3绿色灯光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0.932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0.866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0.849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0.912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0.904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0.915</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0.814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0.718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0.767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0.868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0.839</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0.918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0.867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0.915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0.870</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0.901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0.845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0.906</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0.864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0.865</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RIDCP [2]</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0.931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0.868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0.943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0.932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0.926</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0.878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0.856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0.922</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0.941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0.932</w:t>
            </w:r>
          </w:p>
        </w:tc>
      </w:tr>
    </w:tbl>
    <w:p w14:paraId="3DE271B7">
      <w:pPr>
        <w:spacing w:before="30" w:after="180" w:line="280" w:lineRule="auto"/>
      </w:pPr>
      <w:r>
        <w:rPr>
          <w:i/>
          <w:iCs/>
          <w:sz w:val="18"/>
          <w:szCs w:val="18"/>
        </w:rPr>
        <w:t>注：RIDCP在仪表雾化（M4，雾霾散射主导）与缆线眩光（M1）场景领先；LUCIDMine在顶板低可见度纹理（M5）与矿工场景（M2）领先，在绿色灯光（M3）与机械扬尘（M6）场景并列最优。结果表明不同退化类型对方法设计有不同要求。</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RIDCP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优于RIDCP。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w:t>
      </w:r>
      <w:r>
        <w:rPr>
          <w:rFonts w:hint="eastAsia" w:ascii="黑体" w:hAnsi="黑体" w:eastAsia="黑体" w:cs="黑体"/>
          <w:sz w:val="18"/>
          <w:szCs w:val="18"/>
        </w:rPr>
        <w:t>数据</w:t>
      </w:r>
      <w:r>
        <w:rPr>
          <w:rFonts w:ascii="黑体" w:hAnsi="黑体" w:eastAsia="黑体" w:cs="黑体"/>
          <w:sz w:val="18"/>
          <w:szCs w:val="18"/>
        </w:rPr>
        <w:t>库的288对测试集）。行对应</w:t>
      </w:r>
      <w:r>
        <w:rPr>
          <w:rFonts w:hint="eastAsia" w:ascii="黑体" w:hAnsi="黑体" w:eastAsia="黑体" w:cs="黑体"/>
          <w:sz w:val="18"/>
          <w:szCs w:val="18"/>
        </w:rPr>
        <w:t>煤矿</w:t>
      </w:r>
      <w:r>
        <w:rPr>
          <w:rFonts w:ascii="黑体" w:hAnsi="黑体" w:eastAsia="黑体" w:cs="黑体"/>
          <w:sz w:val="18"/>
          <w:szCs w:val="18"/>
        </w:rPr>
        <w:t>场景M1–M6，列依次为：输入原图、DCP、CLAHE、Retinex、RIDCP、LUCIDMine。LUCIDMine（最右列）在各场景类型下视觉质量最为均衡。</w:t>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w:t>
      </w:r>
      <w:r>
        <w:rPr>
          <w:b/>
          <w:bCs/>
        </w:rPr>
        <w:t>眩光抑制不均匀：</w:t>
      </w:r>
      <w:r>
        <w:t>GARC在极端强点光源（如机械探照灯）附近的控制能力仍有提升空间，表3中眩光代理略高于RIDCP，在极端高光场景（如M1缆线眩光场景，表6中0.926略低于RIDCP的0.931）有损失。</w:t>
      </w:r>
    </w:p>
    <w:p w14:paraId="11661338">
      <w:pPr>
        <w:spacing w:after="40" w:line="300" w:lineRule="auto"/>
        <w:ind w:left="420" w:hanging="420"/>
      </w:pPr>
      <w:r>
        <w:t>（2）</w:t>
      </w:r>
      <w:r>
        <w:rPr>
          <w:b/>
          <w:bCs/>
        </w:rPr>
        <w:t>数据集地域局限：</w:t>
      </w:r>
      <w:r>
        <w:t>当前数据集来自两座煤矿，不同矿种（硬岩</w:t>
      </w:r>
      <w:r>
        <w:rPr>
          <w:rFonts w:hint="eastAsia"/>
        </w:rPr>
        <w:t>煤矿</w:t>
      </w:r>
      <w:r>
        <w:t>、金属</w:t>
      </w:r>
      <w:r>
        <w:rPr>
          <w:rFonts w:hint="eastAsia"/>
        </w:rPr>
        <w:t>煤矿</w:t>
      </w:r>
      <w:r>
        <w:t>）、摄像机型号、镜头污染状态与季节工况下的泛化能力有待进一步系统验证。</w:t>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2025)[35]（代理集实测，n=152，448×256）PSNR领先2.41 dB，SSIM领先0.171；模型参数增幅&lt;1%，GPU时延增加&lt;1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PSNR）与GARC协同的有效性。该框架为标注数据稀缺的煤矿场景提供了一条计算高效、物理可解释、迁移安全的图像复原路径，在煤矿带式输送机目标检测的视觉增强领域具有较强的实用价值与方法扩展潜力。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