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正向校正施加惩罚，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0.05经网格搜索确定，以像素保真度为主导，同时给予模型保留结构的显式激励；λg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