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2025)（代理集实测）相比，LUCIDMine在PSNR（代理集+2.41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构成关于1.0对称的约束：允许最大45%的残差衰减（抑制眩光过冲）或45%的残差放大（强化低可见度区域），实现在二者之间的平衡控制。【修订注：代码实现中式(11)含调制项M(x)=(1−G(x))·(0.5+0.5·V(x))，完整公式为 S_final = clip(1 + γG·S·M(x), 0.55, 1.45)，其中M(x)在眩光区域（G→1）趋近于0抑制残差放大、在低可见度区域（V→1）趋近于1允许充分增强。式(11)的简化表述与代码不符，将在正式修订版中补充完整公式。】</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各方法的失效模式呈现显著差异：DCP因暗通道假设在煤矿灯光场景下系统性失效，PSNR仅15.92 dB，暗度代理高达0.409（表3），可见度得分跌至0.812；CLAHE的SSIM最低（0.805），表明其局部直方图修正与真实参考存在较大结构偏差；Retinex的SSIM仅0.681，色调调整引入系统性偏差；AdaIR(ICLR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2025)[35]（代理集实测，n=152，448×256）PSNR领先2.41 dB，SSIM领先0.171；模型参数增幅&lt;1%，GPU时延增加&lt;1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PSNR）与GARC协同的有效性。该框架为标注数据稀缺的煤矿场景提供了一条计算高效、物理可解释、迁移安全的图像复原路径，在煤矿带式输送机目标检测的视觉增强领域具有较强的实用价值与方法扩展潜力。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