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DETAILED PROJECT REPORT</w:t>
        <w:br/>
      </w:r>
      <w:r>
        <w:rPr>
          <w:b/>
          <w:sz w:val="28"/>
        </w:rPr>
        <w:t>Autoencoders, Restricted Boltzmann Machines, and Deep Belief Networks</w:t>
      </w:r>
    </w:p>
    <w:p>
      <w:pPr>
        <w:jc w:val="center"/>
      </w:pPr>
      <w:r>
        <w:rPr>
          <w:i/>
        </w:rPr>
        <w:t>Based on the submitted Jupyter Notebook: assignment4p12.ipynb</w:t>
      </w:r>
    </w:p>
    <w:p>
      <w:pPr>
        <w:pStyle w:val="Heading1"/>
      </w:pPr>
      <w:r>
        <w:t>Abstract</w:t>
      </w:r>
    </w:p>
    <w:p>
      <w:r>
        <w:t>This project investigates unsupervised representation learning and reconstruction using the Scikit-learn Digits dataset. The notebook implements an undercomplete autoencoder, a sparse autoencoder, a denoising autoencoder (DAE), a variational autoencoder (VAE), a restricted Boltzmann machine (RBM), and a deep-belief-network-style layer-wise RBM pretraining pipeline. Reconstruction mean squared error (MSE), training curves, latent-space plots, learned weights, and classification metrics are used to examine model behavior. In the final classifier comparison, the randomly initialized network achieved 81.39% test accuracy, while the RBM-pretrained network achieved 79.44%.</w:t>
      </w:r>
    </w:p>
    <w:p>
      <w:pPr>
        <w:pStyle w:val="Heading1"/>
      </w:pPr>
      <w:r>
        <w:t>1. Introduction</w:t>
      </w:r>
    </w:p>
    <w:p>
      <w:r>
        <w:t>Representation learning transforms raw data into useful features. Autoencoders learn to reconstruct inputs through a hidden representation. Sparse and denoising variants add constraints or corruption to influence what is learned, while a variational autoencoder models a distribution in latent space. Restricted Boltzmann machines learn relationships between visible and hidden units; stacked RBMs can be used for layer-wise pretraining before supervised classification.</w:t>
      </w:r>
    </w:p>
    <w:p>
      <w:r>
        <w:t>The notebook uses handwritten digits from Scikit-learn’s built-in Digits dataset. Each image is 8 × 8 pixels, flattened to 64 features. Pixel values are normalized by dividing by 16, resulting in values from 0 to 1. The data is split into 80% training and 20% testing, with random_state=42 and stratification by digit class.</w:t>
      </w:r>
    </w:p>
    <w:p>
      <w:pPr>
        <w:pStyle w:val="Heading1"/>
      </w:pPr>
      <w:r>
        <w:t>2. Objectives</w:t>
      </w:r>
    </w:p>
    <w:p>
      <w:pPr>
        <w:pStyle w:val="ListBullet"/>
      </w:pPr>
      <w:r>
        <w:t>Build an undercomplete autoencoder with a two-dimensional bottleneck and compare its latent projection with PCA.</w:t>
      </w:r>
    </w:p>
    <w:p>
      <w:pPr>
        <w:pStyle w:val="ListBullet"/>
      </w:pPr>
      <w:r>
        <w:t>Investigate sparsity regularization using different KL-penalty coefficients.</w:t>
      </w:r>
    </w:p>
    <w:p>
      <w:pPr>
        <w:pStyle w:val="ListBullet"/>
      </w:pPr>
      <w:r>
        <w:t>Train a denoising autoencoder to reconstruct clean digits from corrupted inputs.</w:t>
      </w:r>
    </w:p>
    <w:p>
      <w:pPr>
        <w:pStyle w:val="ListBullet"/>
      </w:pPr>
      <w:r>
        <w:t>Train a variational autoencoder and inspect latent means and decoder outputs across a two-dimensional grid.</w:t>
      </w:r>
    </w:p>
    <w:p>
      <w:pPr>
        <w:pStyle w:val="ListBullet"/>
      </w:pPr>
      <w:r>
        <w:t>Implement an RBM trained with one-step Contrastive Divergence (CD-1) and evaluate reconstruction error.</w:t>
      </w:r>
    </w:p>
    <w:p>
      <w:pPr>
        <w:pStyle w:val="ListBullet"/>
      </w:pPr>
      <w:r>
        <w:t>Pretrain a two-layer RBM stack and compare a DBN-style classifier with the same architecture using random initialization.</w:t>
      </w:r>
    </w:p>
    <w:p>
      <w:pPr>
        <w:pStyle w:val="Heading1"/>
      </w:pPr>
      <w:r>
        <w:t>3. Dataset and Experimental Setup</w:t>
      </w:r>
    </w:p>
    <w:p>
      <w:r>
        <w:t>The Digits dataset contains 1,797 examples across ten classes (0–9), with 64 pixel features per example. The notebook reports 1,437 training examples and 360 test examples. For the supervised classifier comparison, 10% of the training split is selected as labeled data, giving 143 labeled examples. NumPy and PyTorch random seeds are set to 42 to support reproducibility.</w:t>
      </w:r>
    </w:p>
    <w:p>
      <w:r>
        <w:t>The principal tools are Python, NumPy, Matplotlib, PyTorch, and scikit-learn. Neural-network models generally use Adam with learning rate 0.001. RBM updates are implemented manually using CD-1 with learning rate 0.01. Reconstruction quality is primarily measured using MSE.</w:t>
      </w:r>
    </w:p>
    <w:p>
      <w:pPr>
        <w:pStyle w:val="Heading1"/>
      </w:pPr>
      <w:r>
        <w:t>4. Methodology</w:t>
      </w:r>
    </w:p>
    <w:p>
      <w:pPr>
        <w:pStyle w:val="Heading2"/>
      </w:pPr>
      <w:r>
        <w:t>4.1 Undercomplete Autoencoder (Task 1.1)</w:t>
      </w:r>
    </w:p>
    <w:p>
      <w:r>
        <w:t>The encoder maps 64 input features through 32 and 16 ReLU units to a two-dimensional latent code. The decoder maps the code through 16 and 32 ReLU units to 64 sigmoid outputs. The model is trained for 50 epochs using MSE and Adam (learning rate 0.001). The bottleneck enables visualization but constrains information capacity. The notebook plots training loss, a two-dimensional latent scatter plot colored by digit, and a visual comparison with two-component PCA. A numerical test MSE for this model is not printed in the saved outputs.</w:t>
      </w:r>
    </w:p>
    <w:p>
      <w:pPr>
        <w:pStyle w:val="Heading2"/>
      </w:pPr>
      <w:r>
        <w:t>4.2 Sparse Autoencoder (Task 1.2)</w:t>
      </w:r>
    </w:p>
    <w:p>
      <w:r>
        <w:t>The sparse autoencoder uses a 64 → 128 → 96 encoder, with sigmoid activations for the 96-dimensional code, and a 96 → 128 → 64 decoder. It is trained for 30 epochs. The objective combines reconstruction MSE with beta times a KL-divergence sparsity penalty. The target average activation is rho = 0.05. The notebook tests beta values 0.0, 0.1, and 1.0. The active fraction is the fraction of hidden activations greater than 0.1.</w:t>
      </w:r>
    </w:p>
    <w:p>
      <w:pPr>
        <w:pStyle w:val="Heading2"/>
      </w:pPr>
      <w:r>
        <w:t>4.3 Denoising Autoencoder (Task 1.3A)</w:t>
      </w:r>
    </w:p>
    <w:p>
      <w:r>
        <w:t>The DAE uses a 64 → 32 → 16 → 2 encoder and mirrored decoder. Gaussian noise is added to clean inputs and clipped to [0, 1]. Training uses noise standard deviation 0.25 and the clean image as target. The model is trained for 40 epochs. Testing evaluates noise standard deviations of 0.0, 0.1, 0.25, 0.4, and 0.6.</w:t>
      </w:r>
    </w:p>
    <w:p>
      <w:pPr>
        <w:pStyle w:val="Heading2"/>
      </w:pPr>
      <w:r>
        <w:t>4.4 Variational Autoencoder (Task 1.3B)</w:t>
      </w:r>
    </w:p>
    <w:p>
      <w:r>
        <w:t>The VAE uses a 64 → 32 → 16 feature extractor and produces a mean vector and log-variance vector for a two-dimensional latent distribution. Reparameterization samples z = μ + σ × ε, where ε is standard normal. The decoder maps latent samples through 16 and 32 units to 64 sigmoid outputs. Training runs for 50 epochs. Its objective combines scaled reconstruction MSE (MSE × 64) and KL divergence, using beta_KL = 1.0. The notebook evaluates test MSE, plots latent means colored by digit, and decodes a 12 × 12 grid across latent coordinates from −2.5 to 2.5.</w:t>
      </w:r>
    </w:p>
    <w:p>
      <w:pPr>
        <w:pStyle w:val="Heading2"/>
      </w:pPr>
      <w:r>
        <w:t>4.5 Restricted Boltzmann Machine (Task 2.1)</w:t>
      </w:r>
    </w:p>
    <w:p>
      <w:r>
        <w:t>The RBM has 64 visible and 64 hidden units. Weights start with small random values; visible and hidden biases start at zero. Conditional probabilities use sigmoid functions. Each CD-1 update uses the observed input for a positive phase, one Gibbs step to generate a reconstruction, and a negative phase based on that reconstruction. Training runs for 50 epochs with batch size 128 and learning rate 0.01. The notebook tracks training reconstruction MSE, visualizes the first 16 hidden-unit weight vectors as 8 × 8 images, and reports test MSE.</w:t>
      </w:r>
    </w:p>
    <w:p>
      <w:pPr>
        <w:pStyle w:val="Heading2"/>
      </w:pPr>
      <w:r>
        <w:t>4.6 Layer-wise RBM Pretraining and Classifier Comparison (Task 2.2)</w:t>
      </w:r>
    </w:p>
    <w:p>
      <w:r>
        <w:t>The DBN-style pipeline stacks two RBMs with sizes 64 → 128 → 64. Each RBM is pretrained for 30 epochs using CD-1 and batch size 128. Hidden probabilities from one layer become input to the next. The classifier uses a 64 → 128 → 64 → 10 architecture, with sigmoid activations in the first two layers and a linear output for ten-class logits. One classifier initializes the first two layers from pretrained RBMs; the comparison model uses random initialization. Both train with Adam (learning rate 0.001), cross-entropy loss, batch size 32, and 100 epochs. Only 143 labeled examples are used for training; the test set has 360 examples.</w:t>
      </w:r>
    </w:p>
    <w:p>
      <w:pPr>
        <w:pStyle w:val="Heading1"/>
      </w:pPr>
      <w:r>
        <w:t>5. Results</w:t>
      </w:r>
    </w:p>
    <w:p>
      <w:pPr>
        <w:pStyle w:val="Heading2"/>
      </w:pPr>
      <w:r>
        <w:t>5.1 Sparse Autoencoder</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β</w:t>
            </w:r>
          </w:p>
        </w:tc>
        <w:tc>
          <w:tcPr>
            <w:tcW w:type="dxa" w:w="2484"/>
          </w:tcPr>
          <w:p>
            <w:r>
              <w:t>Test MSE</w:t>
            </w:r>
          </w:p>
        </w:tc>
        <w:tc>
          <w:tcPr>
            <w:tcW w:type="dxa" w:w="2484"/>
          </w:tcPr>
          <w:p>
            <w:r>
              <w:t>Mean hidden activation</w:t>
            </w:r>
          </w:p>
        </w:tc>
        <w:tc>
          <w:tcPr>
            <w:tcW w:type="dxa" w:w="2484"/>
          </w:tcPr>
          <w:p>
            <w:r>
              <w:t>Fraction active (&gt; 0.1)</w:t>
            </w:r>
          </w:p>
        </w:tc>
      </w:tr>
      <w:tr>
        <w:tc>
          <w:tcPr>
            <w:tcW w:type="dxa" w:w="2484"/>
          </w:tcPr>
          <w:p>
            <w:r>
              <w:t>0.0</w:t>
            </w:r>
          </w:p>
        </w:tc>
        <w:tc>
          <w:tcPr>
            <w:tcW w:type="dxa" w:w="2484"/>
          </w:tcPr>
          <w:p>
            <w:r>
              <w:t>0.02838</w:t>
            </w:r>
          </w:p>
        </w:tc>
        <w:tc>
          <w:tcPr>
            <w:tcW w:type="dxa" w:w="2484"/>
          </w:tcPr>
          <w:p>
            <w:r>
              <w:t>0.5596</w:t>
            </w:r>
          </w:p>
        </w:tc>
        <w:tc>
          <w:tcPr>
            <w:tcW w:type="dxa" w:w="2484"/>
          </w:tcPr>
          <w:p>
            <w:r>
              <w:t>0.8377</w:t>
            </w:r>
          </w:p>
        </w:tc>
      </w:tr>
      <w:tr>
        <w:tc>
          <w:tcPr>
            <w:tcW w:type="dxa" w:w="2484"/>
          </w:tcPr>
          <w:p>
            <w:r>
              <w:t>0.1</w:t>
            </w:r>
          </w:p>
        </w:tc>
        <w:tc>
          <w:tcPr>
            <w:tcW w:type="dxa" w:w="2484"/>
          </w:tcPr>
          <w:p>
            <w:r>
              <w:t>0.07325</w:t>
            </w:r>
          </w:p>
        </w:tc>
        <w:tc>
          <w:tcPr>
            <w:tcW w:type="dxa" w:w="2484"/>
          </w:tcPr>
          <w:p>
            <w:r>
              <w:t>0.0514</w:t>
            </w:r>
          </w:p>
        </w:tc>
        <w:tc>
          <w:tcPr>
            <w:tcW w:type="dxa" w:w="2484"/>
          </w:tcPr>
          <w:p>
            <w:r>
              <w:t>0.0103</w:t>
            </w:r>
          </w:p>
        </w:tc>
      </w:tr>
      <w:tr>
        <w:tc>
          <w:tcPr>
            <w:tcW w:type="dxa" w:w="2484"/>
          </w:tcPr>
          <w:p>
            <w:r>
              <w:t>1.0</w:t>
            </w:r>
          </w:p>
        </w:tc>
        <w:tc>
          <w:tcPr>
            <w:tcW w:type="dxa" w:w="2484"/>
          </w:tcPr>
          <w:p>
            <w:r>
              <w:t>0.07332</w:t>
            </w:r>
          </w:p>
        </w:tc>
        <w:tc>
          <w:tcPr>
            <w:tcW w:type="dxa" w:w="2484"/>
          </w:tcPr>
          <w:p>
            <w:r>
              <w:t>0.0514</w:t>
            </w:r>
          </w:p>
        </w:tc>
        <w:tc>
          <w:tcPr>
            <w:tcW w:type="dxa" w:w="2484"/>
          </w:tcPr>
          <w:p>
            <w:r>
              <w:t>0.0080</w:t>
            </w:r>
          </w:p>
        </w:tc>
      </w:tr>
    </w:tbl>
    <w:p>
      <w:r>
        <w:t>The unregularized model (β = 0) has the lowest test reconstruction MSE but much higher mean activation and active fraction. Increasing β to 0.1 sharply reduces hidden activity toward the target sparsity level, while reconstruction MSE rises. Increasing β further to 1.0 provides only a small additional reduction in active fraction and does not improve reconstruction MSE. This illustrates a trade-off between reconstruction fidelity and sparse representation.</w:t>
      </w:r>
    </w:p>
    <w:p>
      <w:pPr>
        <w:pStyle w:val="Heading2"/>
      </w:pPr>
      <w:r>
        <w:t>5.2 Denoising Autoencoder</w:t>
      </w:r>
    </w:p>
    <w:tbl>
      <w:tblPr>
        <w:tblStyle w:val="LightGrid-Accent1"/>
        <w:tblW w:type="auto" w:w="0"/>
        <w:tblLook w:firstColumn="1" w:firstRow="1" w:lastColumn="0" w:lastRow="0" w:noHBand="0" w:noVBand="1" w:val="04A0"/>
      </w:tblPr>
      <w:tblGrid>
        <w:gridCol w:w="4968"/>
        <w:gridCol w:w="4968"/>
      </w:tblGrid>
      <w:tr>
        <w:tc>
          <w:tcPr>
            <w:tcW w:type="dxa" w:w="4968"/>
          </w:tcPr>
          <w:p>
            <w:r>
              <w:t>Input noise σ</w:t>
            </w:r>
          </w:p>
        </w:tc>
        <w:tc>
          <w:tcPr>
            <w:tcW w:type="dxa" w:w="4968"/>
          </w:tcPr>
          <w:p>
            <w:r>
              <w:t>Test reconstruction MSE</w:t>
            </w:r>
          </w:p>
        </w:tc>
      </w:tr>
      <w:tr>
        <w:tc>
          <w:tcPr>
            <w:tcW w:type="dxa" w:w="4968"/>
          </w:tcPr>
          <w:p>
            <w:r>
              <w:t>0.00</w:t>
            </w:r>
          </w:p>
        </w:tc>
        <w:tc>
          <w:tcPr>
            <w:tcW w:type="dxa" w:w="4968"/>
          </w:tcPr>
          <w:p>
            <w:r>
              <w:t>0.062315</w:t>
            </w:r>
          </w:p>
        </w:tc>
      </w:tr>
      <w:tr>
        <w:tc>
          <w:tcPr>
            <w:tcW w:type="dxa" w:w="4968"/>
          </w:tcPr>
          <w:p>
            <w:r>
              <w:t>0.10</w:t>
            </w:r>
          </w:p>
        </w:tc>
        <w:tc>
          <w:tcPr>
            <w:tcW w:type="dxa" w:w="4968"/>
          </w:tcPr>
          <w:p>
            <w:r>
              <w:t>0.062390</w:t>
            </w:r>
          </w:p>
        </w:tc>
      </w:tr>
      <w:tr>
        <w:tc>
          <w:tcPr>
            <w:tcW w:type="dxa" w:w="4968"/>
          </w:tcPr>
          <w:p>
            <w:r>
              <w:t>0.25</w:t>
            </w:r>
          </w:p>
        </w:tc>
        <w:tc>
          <w:tcPr>
            <w:tcW w:type="dxa" w:w="4968"/>
          </w:tcPr>
          <w:p>
            <w:r>
              <w:t>0.063186</w:t>
            </w:r>
          </w:p>
        </w:tc>
      </w:tr>
      <w:tr>
        <w:tc>
          <w:tcPr>
            <w:tcW w:type="dxa" w:w="4968"/>
          </w:tcPr>
          <w:p>
            <w:r>
              <w:t>0.40</w:t>
            </w:r>
          </w:p>
        </w:tc>
        <w:tc>
          <w:tcPr>
            <w:tcW w:type="dxa" w:w="4968"/>
          </w:tcPr>
          <w:p>
            <w:r>
              <w:t>0.064565</w:t>
            </w:r>
          </w:p>
        </w:tc>
      </w:tr>
      <w:tr>
        <w:tc>
          <w:tcPr>
            <w:tcW w:type="dxa" w:w="4968"/>
          </w:tcPr>
          <w:p>
            <w:r>
              <w:t>0.60</w:t>
            </w:r>
          </w:p>
        </w:tc>
        <w:tc>
          <w:tcPr>
            <w:tcW w:type="dxa" w:w="4968"/>
          </w:tcPr>
          <w:p>
            <w:r>
              <w:t>0.066259</w:t>
            </w:r>
          </w:p>
        </w:tc>
      </w:tr>
    </w:tbl>
    <w:p>
      <w:r>
        <w:t>Test MSE increases gradually as input noise grows, from 0.062315 at σ = 0.0 to 0.066259 at σ = 0.6. This indicates that reconstruction quality degrades with stronger corruption, although the model continues to reconstruct images. The notebook also displays clean, noisy, and reconstructed examples at σ = 0.25.</w:t>
      </w:r>
    </w:p>
    <w:p>
      <w:pPr>
        <w:pStyle w:val="Heading2"/>
      </w:pPr>
      <w:r>
        <w:t>5.3 Variational Autoencoder</w:t>
      </w:r>
    </w:p>
    <w:p>
      <w:r>
        <w:t>The reported VAE test reconstruction MSE is 0.074090. The notebook visualizes test-set latent means and a decoder grid to show how digit examples are arranged in two-dimensional latent space and how decoder outputs change as latent coordinates vary. No additional quantitative latent-space metrics are printed.</w:t>
      </w:r>
    </w:p>
    <w:p>
      <w:pPr>
        <w:pStyle w:val="Heading2"/>
      </w:pPr>
      <w:r>
        <w:t>5.4 Restricted Boltzmann Machine</w:t>
      </w:r>
    </w:p>
    <w:p>
      <w:r>
        <w:t>The RBM training reconstruction MSE decreases from 0.076998 at epoch 5 to 0.072805 at epoch 50. The final reported test reconstruction MSE is 0.073893. The reduction in training error suggests that CD-1 training improves reconstruction on training data. Learned-weight visualizations provide a qualitative view of patterns represented by hidden units.</w:t>
      </w:r>
    </w:p>
    <w:p>
      <w:pPr>
        <w:pStyle w:val="Heading2"/>
      </w:pPr>
      <w:r>
        <w:t>5.5 RBM Pretraining and Classification</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RBM layer</w:t>
            </w:r>
          </w:p>
        </w:tc>
        <w:tc>
          <w:tcPr>
            <w:tcW w:type="dxa" w:w="3312"/>
          </w:tcPr>
          <w:p>
            <w:r>
              <w:t>Architecture</w:t>
            </w:r>
          </w:p>
        </w:tc>
        <w:tc>
          <w:tcPr>
            <w:tcW w:type="dxa" w:w="3312"/>
          </w:tcPr>
          <w:p>
            <w:r>
              <w:t>Reconstruction MSE at epoch 30</w:t>
            </w:r>
          </w:p>
        </w:tc>
      </w:tr>
      <w:tr>
        <w:tc>
          <w:tcPr>
            <w:tcW w:type="dxa" w:w="3312"/>
          </w:tcPr>
          <w:p>
            <w:r>
              <w:t>Layer 1</w:t>
            </w:r>
          </w:p>
        </w:tc>
        <w:tc>
          <w:tcPr>
            <w:tcW w:type="dxa" w:w="3312"/>
          </w:tcPr>
          <w:p>
            <w:r>
              <w:t>64 → 128</w:t>
            </w:r>
          </w:p>
        </w:tc>
        <w:tc>
          <w:tcPr>
            <w:tcW w:type="dxa" w:w="3312"/>
          </w:tcPr>
          <w:p>
            <w:r>
              <w:t>0.07310</w:t>
            </w:r>
          </w:p>
        </w:tc>
      </w:tr>
      <w:tr>
        <w:tc>
          <w:tcPr>
            <w:tcW w:type="dxa" w:w="3312"/>
          </w:tcPr>
          <w:p>
            <w:r>
              <w:t>Layer 2</w:t>
            </w:r>
          </w:p>
        </w:tc>
        <w:tc>
          <w:tcPr>
            <w:tcW w:type="dxa" w:w="3312"/>
          </w:tcPr>
          <w:p>
            <w:r>
              <w:t>128 → 64</w:t>
            </w:r>
          </w:p>
        </w:tc>
        <w:tc>
          <w:tcPr>
            <w:tcW w:type="dxa" w:w="3312"/>
          </w:tcPr>
          <w:p>
            <w:r>
              <w:t>0.00025</w:t>
            </w:r>
          </w:p>
        </w:tc>
      </w:tr>
    </w:tbl>
    <w:p>
      <w:r>
        <w:t>Final classification comparison:</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Test accuracy</w:t>
            </w:r>
          </w:p>
        </w:tc>
        <w:tc>
          <w:tcPr>
            <w:tcW w:type="dxa" w:w="3312"/>
          </w:tcPr>
          <w:p>
            <w:r>
              <w:t>Approximate correct predictions</w:t>
            </w:r>
          </w:p>
        </w:tc>
      </w:tr>
      <w:tr>
        <w:tc>
          <w:tcPr>
            <w:tcW w:type="dxa" w:w="3312"/>
          </w:tcPr>
          <w:p>
            <w:r>
              <w:t>RBM-pretrained network</w:t>
            </w:r>
          </w:p>
        </w:tc>
        <w:tc>
          <w:tcPr>
            <w:tcW w:type="dxa" w:w="3312"/>
          </w:tcPr>
          <w:p>
            <w:r>
              <w:t>79.44%</w:t>
            </w:r>
          </w:p>
        </w:tc>
        <w:tc>
          <w:tcPr>
            <w:tcW w:type="dxa" w:w="3312"/>
          </w:tcPr>
          <w:p>
            <w:r>
              <w:t>286 / 360</w:t>
            </w:r>
          </w:p>
        </w:tc>
      </w:tr>
      <w:tr>
        <w:tc>
          <w:tcPr>
            <w:tcW w:type="dxa" w:w="3312"/>
          </w:tcPr>
          <w:p>
            <w:r>
              <w:t>Randomly initialized network</w:t>
            </w:r>
          </w:p>
        </w:tc>
        <w:tc>
          <w:tcPr>
            <w:tcW w:type="dxa" w:w="3312"/>
          </w:tcPr>
          <w:p>
            <w:r>
              <w:t>81.39%</w:t>
            </w:r>
          </w:p>
        </w:tc>
        <w:tc>
          <w:tcPr>
            <w:tcW w:type="dxa" w:w="3312"/>
          </w:tcPr>
          <w:p>
            <w:r>
              <w:t>293 / 360</w:t>
            </w:r>
          </w:p>
        </w:tc>
      </w:tr>
    </w:tbl>
    <w:p>
      <w:r>
        <w:t>At epoch 100, the pretrained classifier reaches 79.44% test accuracy and the randomly initialized classifier reaches 81.39%. The random network is ahead by 1.95 percentage points in this run. The pretrained model performs well for some digits (digit 0 has F1 = 0.94 and digit 6 has F1 = 0.92) and less well for others (digit 8 has F1 = 0.48 and digit 9 has F1 = 0.62). These results do not demonstrate an accuracy advantage from pretraining under this setup.</w:t>
      </w:r>
    </w:p>
    <w:p>
      <w:pPr>
        <w:pStyle w:val="Heading1"/>
      </w:pPr>
      <w:r>
        <w:t>6. Discussion</w:t>
      </w:r>
    </w:p>
    <w:p>
      <w:r>
        <w:t>The experiments show that the training objective influences learned representations. The undercomplete autoencoder compresses each 64-feature digit into two values, enabling visualization but imposing a strong bottleneck. The sparse autoencoder reveals a reconstruction–sparsity trade-off: stronger regularization reduces activation but increases reconstruction error. The DAE is trained to map corrupted inputs to clean targets, and its error increases with stronger test-time noise. The VAE adds a probabilistic latent representation and KL penalty, allowing a continuous latent grid to be decoded into images.</w:t>
      </w:r>
    </w:p>
    <w:p>
      <w:r>
        <w:t>The RBM learns by contrasting statistics from real inputs with statistics from one-step reconstructions. Its training MSE decreases across the reported epochs, and its test MSE is close to its final training reconstruction error. In the classifier comparison, layer-wise pretraining does not outperform random initialization. This result is specific to this dataset, architecture, optimization schedule, small labeled subset, and single run; it does not establish that pretraining is generally ineffective.</w:t>
      </w:r>
    </w:p>
    <w:p>
      <w:pPr>
        <w:pStyle w:val="Heading1"/>
      </w:pPr>
      <w:r>
        <w:t>7. Limitations and Implementation Notes</w:t>
      </w:r>
    </w:p>
    <w:p>
      <w:pPr>
        <w:pStyle w:val="ListBullet"/>
      </w:pPr>
      <w:r>
        <w:t>The notebook does not print a numeric test MSE for the undercomplete autoencoder, so its quantitative performance cannot be compared directly from the saved outputs.</w:t>
      </w:r>
    </w:p>
    <w:p>
      <w:pPr>
        <w:pStyle w:val="ListBullet"/>
      </w:pPr>
      <w:r>
        <w:t>The sparse-autoencoder activation-distribution plotting section creates titled axes but does not plot actual activation histograms; numeric activation statistics are available.</w:t>
      </w:r>
    </w:p>
    <w:p>
      <w:pPr>
        <w:pStyle w:val="ListBullet"/>
      </w:pPr>
      <w:r>
        <w:t>Each DAE noise level is evaluated using newly sampled random noise, so small differences may reflect noise sampling as well as model behavior.</w:t>
      </w:r>
    </w:p>
    <w:p>
      <w:pPr>
        <w:pStyle w:val="ListBullet"/>
      </w:pPr>
      <w:r>
        <w:t>The classifier comparison appears to be a single seeded run. Repeated runs and mean/standard deviation would make the comparison more robust.</w:t>
      </w:r>
    </w:p>
    <w:p>
      <w:pPr>
        <w:pStyle w:val="ListBullet"/>
      </w:pPr>
      <w:r>
        <w:t>The test set is evaluated at every epoch during classifier training. For rigorous model selection, use a separate validation set to select an epoch and reserve the test set for final evaluation.</w:t>
      </w:r>
    </w:p>
    <w:p>
      <w:pPr>
        <w:pStyle w:val="ListBullet"/>
      </w:pPr>
      <w:r>
        <w:t>The RBM uses Bernoulli sampling for visible units even though normalized grayscale input features are continuous. This is the implementation used in the notebook and should be considered when interpreting results.</w:t>
      </w:r>
    </w:p>
    <w:p>
      <w:pPr>
        <w:pStyle w:val="ListBullet"/>
      </w:pPr>
      <w:r>
        <w:t>The second RBM layer reconstruction error is measured on a transformed hidden representation, so it should not be directly compared with layer-one or original-image reconstruction error as if the input spaces were identical.</w:t>
      </w:r>
    </w:p>
    <w:p>
      <w:pPr>
        <w:pStyle w:val="Heading1"/>
      </w:pPr>
      <w:r>
        <w:t>8. Conclusion</w:t>
      </w:r>
    </w:p>
    <w:p>
      <w:r>
        <w:t>The notebook implements several unsupervised learning methods on normalized handwritten digit images and evaluates reconstruction or classification behavior. The sparse-autoencoder experiment demonstrates a trade-off between low reconstruction error and low hidden activation. The DAE reconstruction MSE rises gradually with increasing input noise, and the VAE achieves test MSE 0.074090 while providing latent-space and decoder-grid visualizations. The RBM reaches training reconstruction MSE 0.072805 and test MSE 0.073893. Finally, the RBM-pretrained classifier achieves 79.44% accuracy, slightly below the randomly initialized model at 81.39%. Future work could include repeated trials, a validation split, numerical evaluation for all models, and more complete analysis of learned latent features.</w:t>
      </w:r>
    </w:p>
    <w:p>
      <w:pPr>
        <w:pStyle w:val="Heading1"/>
      </w:pPr>
      <w:r>
        <w:t>9. Reproducibility Details</w:t>
      </w:r>
    </w:p>
    <w:p>
      <w:pPr>
        <w:pStyle w:val="ListBullet"/>
      </w:pPr>
      <w:r>
        <w:t>Dataset: sklearn.datasets.load_digits</w:t>
      </w:r>
    </w:p>
    <w:p>
      <w:pPr>
        <w:pStyle w:val="ListBullet"/>
      </w:pPr>
      <w:r>
        <w:t>Input representation: 64 normalized pixel features; pixel intensity divided by 16</w:t>
      </w:r>
    </w:p>
    <w:p>
      <w:pPr>
        <w:pStyle w:val="ListBullet"/>
      </w:pPr>
      <w:r>
        <w:t>Train/test split: 80/20, random_state=42, stratified by digit class</w:t>
      </w:r>
    </w:p>
    <w:p>
      <w:pPr>
        <w:pStyle w:val="ListBullet"/>
      </w:pPr>
      <w:r>
        <w:t>Main neural-network optimizer: Adam, learning rate 0.001</w:t>
      </w:r>
    </w:p>
    <w:p>
      <w:pPr>
        <w:pStyle w:val="ListBullet"/>
      </w:pPr>
      <w:r>
        <w:t>RBM learning rate: 0.01; training uses CD-1</w:t>
      </w:r>
    </w:p>
    <w:p>
      <w:pPr>
        <w:pStyle w:val="ListBullet"/>
      </w:pPr>
      <w:r>
        <w:t>Classifier training: 100 epochs, batch size 32, cross-entropy loss</w:t>
      </w:r>
    </w:p>
    <w:p>
      <w:pPr>
        <w:pStyle w:val="ListBullet"/>
      </w:pPr>
      <w:r>
        <w:t>Labeled classifier training subset: 143 examples (10% of training split)</w:t>
      </w:r>
    </w:p>
    <w:p>
      <w:pPr>
        <w:pStyle w:val="ListBullet"/>
      </w:pPr>
      <w:r>
        <w:t>Test set: 360 examples</w:t>
      </w:r>
    </w:p>
    <w:p>
      <w:r>
        <w:t>Report note: This report is based on the code and saved outputs summarized from the submitted notebook. No external results or unreported numerical values have been added.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