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mallCap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по практической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по дисциплине «Вычислительная математика»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Тема: 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Исследование погрешностей.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tbl>
      <w:tblPr>
        <w:tblW w:w="9331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5602"/>
        <w:gridCol w:w="3728"/>
      </w:tblGrid>
      <w:tr>
        <w:trPr>
          <w:trHeight w:val="705" w:hRule="atLeast"/>
        </w:trPr>
        <w:tc>
          <w:tcPr>
            <w:tcW w:w="560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 xml:space="preserve">Студент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</w:rPr>
              <w:t xml:space="preserve">гр.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3344</w:t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Гайфутдинов А.Р.</w:t>
            </w:r>
          </w:p>
        </w:tc>
      </w:tr>
      <w:tr>
        <w:trPr>
          <w:trHeight w:val="600" w:hRule="atLeast"/>
        </w:trPr>
        <w:tc>
          <w:tcPr>
            <w:tcW w:w="560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Преподаватель</w:t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Попова Е.В.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2025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Изучение особенностей вычисления чисел с плавающей точкой.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ascii="Times new roman" w:hAnsi="Times new roman"/>
          <w:b/>
          <w:bCs/>
          <w:sz w:val="28"/>
          <w:szCs w:val="28"/>
          <w:u w:val="none"/>
        </w:rPr>
        <w:t>Теоретические положения.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Множество F чисел с плавающей запятой характеризуется четырьмя параметрами: основанием системы счисления b, точностью t и интервалом показателей [L, M]. Каждое число x с плавающей запятой, принадлежащее F, имеет следующее значение (1)</w:t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den>
            </m:f>
          </m:e>
        </m:d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</w:rPr>
        <w:t>(1)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где целые числа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удовлетворяют неравенствам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1,2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Целое число n называется показателем, а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den>
            </m:f>
          </m:e>
        </m:d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дробной частью. Если принять,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то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</w:rPr>
        <w:t>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называется разрядностью мантиссы, а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</w:rPr>
        <w:t>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разрядностью порядка. Определенная таким образом мантисса оказывается в диапазоне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1.</m:t>
        </m:r>
      </m:oMath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</w:rPr>
        <w:t xml:space="preserve"> Расположение представленных чисел на числовой оси уже не обладает свойством равномерности.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Величина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является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ε, такого, что 1+ε&gt;1. Точное значение машинного эпсилон зависит не только то указанных выше параметров, но и от принятого способа округления. 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На множестве F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Задание.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 помощью языка программирования Java, онлайн-компилятора Trinket исследовать величину машинного эпсилон при заданных в варианте начальных значениях на определенных технических устройствах, указать эти технические устройства, привести скриншоты.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С помощью метода границ найти приближенное значение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зависящей от двух аргументов, и величину абсолютной погрешности функции,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0,879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0,936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1,234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0,126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. Предварительно определить область определения функции, отобразить эту область графически. (Если границы аргументов не попадают в область определения – замените их, аргументируя).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Для нечетных номеров: по неточному значению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все цифры которого верны в строгом смысле, определить предельное значение относительной погрешности. Для четных номеров: неточное число из предыдущего варианта (для 2-го из 1-го) имеет относительную погрешность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. Определить количество верных знаков в широком смысле неточного числа.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Исследовать ошибки, связанные с числами с плавающей точкой. </w:t>
      </w:r>
    </w:p>
    <w:p>
      <w:pPr>
        <w:pStyle w:val="Normal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А) В программе TestSum (в онлайн компиляторе замените имя класса) суммируется последовательность чисел, которая начинается с 0.01 и заканчивается 1.0. Числа в последовательности увеличиваются на 0.01 следующим образом: 0.01 + 0.02 + 0.03 и так далее.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public class TestSum {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public static void main(String[] args) {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// Инициализировать sum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float sum, i;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sum = 0;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//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Прибавить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0.01, 0.02, ..., 0.99, 1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к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sum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for (i = 0.01f; i &lt;= 1.0f; i = i + 0.01f)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sum += i;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//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Отобразить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sum</w:t>
      </w:r>
    </w:p>
    <w:p>
      <w:pPr>
        <w:pStyle w:val="Normal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  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>System.out.println("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Сумма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</w:rPr>
        <w:t>равна</w:t>
      </w:r>
      <w:r>
        <w:rPr>
          <w:rFonts w:eastAsia="Courier New" w:cs="Courier New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 " + sum);  }}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Сравните результат с точным значением.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Б)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В программе замените тип float на double для повышения точности. Объясните полученный результат.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В) Измените программу, используя целочисленный счетчик для прибавления всех чисел к sum.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Г) Измените программу, прибавляя эти же числа от наибольшего к наименьшему. Выведите все результаты в таблицу и дайте им объяснения.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Вариант 6.</w:t>
      </w:r>
    </w:p>
    <w:tbl>
      <w:tblPr>
        <w:tblStyle w:val="aff5"/>
        <w:tblW w:w="789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71"/>
        <w:gridCol w:w="2417"/>
        <w:gridCol w:w="2403"/>
        <w:gridCol w:w="2404"/>
      </w:tblGrid>
      <w:tr>
        <w:trPr/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sz w:val="28"/>
                <w:szCs w:val="28"/>
                <w:u w:val="none"/>
                <w:lang w:eastAsia="en-US"/>
              </w:rPr>
              <w:t>6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sz w:val="28"/>
                <w:szCs w:val="28"/>
                <w:u w:val="none"/>
                <w:lang w:eastAsia="en-US"/>
              </w:rPr>
              <w:t>eps = 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ln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0,0056</m:t>
                </m:r>
              </m:oMath>
            </m:oMathPara>
          </w:p>
        </w:tc>
      </w:tr>
    </w:tbl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1) Исследование величины машинного эпсилон.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Операционная система : Linux x64, v: 5.15.0-1026-aws.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Компилятор : trinket.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Версия Java 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1.8.0_352.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33655</wp:posOffset>
            </wp:positionV>
            <wp:extent cx="6120130" cy="2126615"/>
            <wp:effectExtent l="0" t="0" r="0" b="0"/>
            <wp:wrapSquare wrapText="largest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Машинный эпсилон — это наименьшее число ε, для которого выполняется условие: 1 + ε &gt; 1,  где ε — число с плавающей точкой.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35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Расчёт машинного эпсилон для типов данных double и float: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Результаты:</w:t>
      </w:r>
    </w:p>
    <w:p>
      <w:pPr>
        <w:pStyle w:val="Normal"/>
        <w:spacing w:lineRule="auto" w:line="360"/>
        <w:ind w:firstLine="709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Для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float: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8.940697E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>×10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vertAlign w:val="superscript"/>
          <w:lang w:val="en-US"/>
        </w:rPr>
        <w:t>−8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Для do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uble: </w:t>
      </w:r>
      <w:r>
        <w:rPr>
          <w:rStyle w:val="Mord"/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en-US"/>
        </w:rPr>
        <w:t>1.6653345369377348</w:t>
      </w:r>
      <w:r>
        <w:rPr>
          <w:rStyle w:val="Mbin"/>
          <w:rFonts w:ascii="Times new roman" w:hAnsi="Times new roman"/>
          <w:b/>
          <w:bCs/>
          <w:i w:val="false"/>
          <w:iCs w:val="false"/>
          <w:color w:val="404040"/>
          <w:sz w:val="28"/>
          <w:szCs w:val="28"/>
          <w:u w:val="none"/>
        </w:rPr>
        <w:t>×</w:t>
      </w:r>
      <w:r>
        <w:rPr>
          <w:rStyle w:val="Mord"/>
          <w:rFonts w:ascii="Times new roman" w:hAnsi="Times new roman"/>
          <w:b/>
          <w:bCs/>
          <w:i w:val="false"/>
          <w:iCs w:val="false"/>
          <w:color w:val="404040"/>
          <w:sz w:val="28"/>
          <w:szCs w:val="28"/>
          <w:u w:val="none"/>
        </w:rPr>
        <w:t>10</w:t>
      </w:r>
      <w:r>
        <w:rPr>
          <w:rStyle w:val="Mord"/>
          <w:rFonts w:ascii="Times new roman" w:hAnsi="Times new roman"/>
          <w:b/>
          <w:bCs/>
          <w:i w:val="false"/>
          <w:iCs w:val="false"/>
          <w:color w:val="404040"/>
          <w:sz w:val="28"/>
          <w:szCs w:val="28"/>
          <w:u w:val="none"/>
          <w:vertAlign w:val="superscript"/>
        </w:rPr>
        <w:t>−16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ab/>
        <w:t>2) Вычисление приближенного значения функции с помощью метода границ.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 помощью метода границ вычисляется приближенное значение функции u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, при ограничениях -0,879 &lt; x &lt; 0,936, -1,234 &lt; y &lt; 0,126.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Область определения функции ограничена следующими неравенствами: 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y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&gt;= 0 : ограничения ввиду аргумента квадратного корня (y).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2.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x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-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y^2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&gt; 0 : ограничения ввиду аргумента натурального логарифма (x-y^2).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3.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x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-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y^2 != 1 : ограничение ввиду запрета делить на ноль (x - y^2) (логарифм равен 0 при значении аргумента = 1).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Область определения представлена пересечением областей красного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синего цветов с “выколотой” инвертированной параболой:</w:t>
      </w:r>
    </w:p>
    <w:p>
      <w:pPr>
        <w:pStyle w:val="Normal"/>
        <w:spacing w:lineRule="auto" w:line="360"/>
        <w:ind w:left="360"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337820</wp:posOffset>
            </wp:positionH>
            <wp:positionV relativeFrom="paragraph">
              <wp:posOffset>-56515</wp:posOffset>
            </wp:positionV>
            <wp:extent cx="5474970" cy="5474970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Общий вид области определения функции с учётом ограничений, описанных в задании (-0,879 &lt; x &lt; 0,936, -1,234 &lt; y &lt; 0,126), поедставлен пересечением красной, зелёной, синкей и фиолетовой областей: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12065</wp:posOffset>
            </wp:positionV>
            <wp:extent cx="7560310" cy="761428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Приближение данного участка плоскости с указанием координат граничных точек: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-1080135</wp:posOffset>
            </wp:positionH>
            <wp:positionV relativeFrom="paragraph">
              <wp:posOffset>4159885</wp:posOffset>
            </wp:positionV>
            <wp:extent cx="7559675" cy="184531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-59690</wp:posOffset>
            </wp:positionH>
            <wp:positionV relativeFrom="paragraph">
              <wp:posOffset>33655</wp:posOffset>
            </wp:positionV>
            <wp:extent cx="7559675" cy="3858260"/>
            <wp:effectExtent l="0" t="0" r="0" b="0"/>
            <wp:wrapSquare wrapText="largest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Расссмотрим нижнюю границу для x и y, равную 0,1 и 0,01 соответственно, ввиду обнуления значения x и кривой, ограничивающей участок слева.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0,1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0,936</m:t>
                </m:r>
              </m:e>
              <m:e>
                <m:r>
                  <w:rPr>
                    <w:rFonts w:ascii="Cambria Math" w:hAnsi="Cambria Math"/>
                  </w:rPr>
                  <m:t xml:space="preserve">0,01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0,126</m:t>
                </m:r>
              </m:e>
            </m:eqArr>
          </m:e>
        </m:d>
      </m:oMath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С применением метода границ определим приближенное значение функции на выбранном участке.</w:t>
      </w:r>
    </w:p>
    <w:tbl>
      <w:tblPr>
        <w:tblStyle w:val="aff6"/>
        <w:tblW w:w="9716" w:type="dxa"/>
        <w:jc w:val="left"/>
        <w:tblInd w:w="-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3"/>
        <w:gridCol w:w="2099"/>
        <w:gridCol w:w="1875"/>
        <w:gridCol w:w="1884"/>
        <w:gridCol w:w="1875"/>
      </w:tblGrid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Выражение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Значение нижней границы значения выражения в общем виде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(НГ)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Значение верхней границы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значения выражения в общем виде (ВГ)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Нижняя граница значения рассматриваемого выражения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4"/>
                <w:szCs w:val="24"/>
                <w:u w:val="none"/>
              </w:rPr>
              <w:t>Верхняя граница значения рассматриваемого выражения</w:t>
            </w:r>
          </w:p>
        </w:tc>
      </w:tr>
      <w:tr>
        <w:trPr>
          <w:trHeight w:val="52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x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НГ(x)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ВГ(x)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0,936</w:t>
            </w:r>
          </w:p>
        </w:tc>
      </w:tr>
      <w:tr>
        <w:trPr>
          <w:trHeight w:val="56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y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НГ(y)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ВГ(y)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0,01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0,126</w:t>
            </w:r>
          </w:p>
        </w:tc>
      </w:tr>
      <w:tr>
        <w:trPr>
          <w:trHeight w:val="675" w:hRule="atLeast"/>
        </w:trPr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y^2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НГ(y)^2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ВГ(y)^2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0,01 ^ 2 = 0,0001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0,126 ^ 2 = 0,015876</w:t>
            </w:r>
          </w:p>
        </w:tc>
      </w:tr>
      <w:tr>
        <w:trPr/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x-y^2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НГ(x)-ВГ(y^2)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ВГ(x)-НГ(y^2)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0,1 - 0,015876 = 0,084124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0,936 - 0,0001 = 0,9359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e^(-x)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e^(-ВГ(x))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e^(-НГ(x))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 ^ ( -0,936 ) =  0,392193476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 ^ ( -0,1 ) = 0,904837418</w:t>
            </w:r>
          </w:p>
        </w:tc>
      </w:tr>
      <w:tr>
        <w:trPr>
          <w:trHeight w:val="629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y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 xml:space="preserve">√ </w:t>
            </w: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НГ(y)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 xml:space="preserve">√ </w:t>
            </w: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ВГ(y)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 xml:space="preserve">√ 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0,01 = 0,1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eastAsia="Courier New"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 xml:space="preserve">√ </w:t>
            </w:r>
            <w:r>
              <w:rPr>
                <w:rStyle w:val="Style25"/>
                <w:rFonts w:eastAsia="Courier New"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 xml:space="preserve">0,126 = </w:t>
            </w:r>
            <w:r>
              <w:rPr>
                <w:rFonts w:eastAsia="Courier New" w:cs="Times New Roman" w:ascii="DejaVu Sans Mono" w:hAnsi="DejaVu Sans Mono"/>
                <w:b w:val="false"/>
                <w:bCs w:val="false"/>
                <w:color w:val="222222"/>
                <w:sz w:val="20"/>
                <w:szCs w:val="20"/>
                <w:u w:val="none"/>
              </w:rPr>
              <w:t>0,354964787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ln(x-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y^2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ln(НГ(x-y^2))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ln(ВГ(x-y^2))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ln( 0,084124 ) = −2,475463378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ln( 0,9359 ) = −0,066246646</w:t>
            </w:r>
          </w:p>
        </w:tc>
      </w:tr>
      <w:tr>
        <w:trPr>
          <w:trHeight w:val="1480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e^(-x)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+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y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e^(-x)</w:t>
            </w: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+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√y)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e^(-x)</w:t>
            </w: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+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√y)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0,392193476 + 0,1 = 0,492193476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0,904837418 + </w:t>
            </w:r>
            <w:r>
              <w:rPr>
                <w:rFonts w:eastAsia="Courier New" w:cs="Times New Roman" w:ascii="DejaVu Sans Mono" w:hAnsi="DejaVu Sans Mono"/>
                <w:b w:val="false"/>
                <w:bCs w:val="false"/>
                <w:color w:val="222222"/>
                <w:sz w:val="20"/>
                <w:szCs w:val="20"/>
                <w:u w:val="none"/>
                <w:lang w:val="en-US"/>
              </w:rPr>
              <w:t>0,354964787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 = 1,259802205</w:t>
            </w:r>
          </w:p>
        </w:tc>
      </w:tr>
      <w:tr>
        <w:trPr>
          <w:trHeight w:val="1480" w:hRule="atLeast"/>
        </w:trPr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(e^(-x)+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√y)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(ln(x-y^2))</w:t>
            </w:r>
          </w:p>
        </w:tc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 w:cs="Times New Roman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e^(-x)+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√y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 w:cs="Times New Roman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 w:cs="Times New Roman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ВГ(ln(x-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y^2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 w:cs="Times New Roman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ВГ(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e^(-x)+</w:t>
            </w:r>
            <w:r>
              <w:rPr>
                <w:rStyle w:val="Style25"/>
                <w:rFonts w:cs="Times New Roman" w:ascii="DejaVu Sans Mono" w:hAnsi="DejaVu Sans Mono"/>
                <w:b w:val="false"/>
                <w:bCs w:val="false"/>
                <w:caps w:val="false"/>
                <w:smallCaps w:val="false"/>
                <w:color w:val="333333"/>
                <w:spacing w:val="0"/>
                <w:sz w:val="20"/>
                <w:szCs w:val="20"/>
                <w:u w:val="none"/>
                <w:lang w:val="en-US"/>
              </w:rPr>
              <w:t>√y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 /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DejaVu Sans Mono" w:hAnsi="DejaVu Sans Mono" w:cs="Times New Roman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НГ(ln(x-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>y^2</w:t>
            </w: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</w:rPr>
              <w:t>)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0,492193476 / ( - 0,066246646 ) = </w:t>
            </w:r>
            <w:r>
              <w:rPr>
                <w:rFonts w:cs="Times New Roman" w:ascii="DejaVu Sans Mono" w:hAnsi="DejaVu Sans Mono"/>
                <w:b/>
                <w:bCs/>
                <w:i w:val="false"/>
                <w:iCs w:val="false"/>
                <w:sz w:val="20"/>
                <w:szCs w:val="20"/>
                <w:u w:val="none"/>
                <w:lang w:val="en-US"/>
              </w:rPr>
              <w:t>−7,429711626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rFonts w:cs="Times New Roman" w:ascii="DejaVu Sans Mono" w:hAnsi="DejaVu Sans Mono"/>
                <w:b w:val="false"/>
                <w:bCs w:val="false"/>
                <w:sz w:val="20"/>
                <w:szCs w:val="20"/>
                <w:u w:val="none"/>
                <w:lang w:val="en-US"/>
              </w:rPr>
              <w:t xml:space="preserve">1,259802205 / ( - 2,475463378 ) = </w:t>
            </w:r>
            <w:r>
              <w:rPr>
                <w:rFonts w:cs="Times New Roman" w:ascii="DejaVu Sans Mono" w:hAnsi="DejaVu Sans Mono"/>
                <w:b/>
                <w:bCs/>
                <w:sz w:val="20"/>
                <w:szCs w:val="20"/>
                <w:u w:val="none"/>
                <w:lang w:val="en-US"/>
              </w:rPr>
              <w:t>−0,508915711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highlight w:val="none"/>
          <w:u w:val="none"/>
          <w:shd w:fill="FFFF00" w:val="clear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shd w:fill="FFFF00" w:val="clear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Полученные верхняя и нижняя границы значения функций: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ВГ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vertAlign w:val="subscript"/>
          <w:lang w:val="en-US"/>
        </w:rPr>
        <w:t>u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=  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-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  <w:lang w:val="en-US"/>
        </w:rPr>
        <w:t>0,508915711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НГ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vertAlign w:val="subscript"/>
          <w:lang w:val="en-US"/>
        </w:rPr>
        <w:t xml:space="preserve">u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- 7,429711626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Приближенное значение функции и величина абсолютной погрешности: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= (ВГ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vertAlign w:val="subscript"/>
          <w:lang w:val="en-US"/>
        </w:rPr>
        <w:t>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+ НГ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vertAlign w:val="subscript"/>
          <w:lang w:val="en-US"/>
        </w:rPr>
        <w:t>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) / 2 = (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- 7,429711626  -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0,508915711 ) / 2 =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−3,969313668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Δu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= (ВГ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vertAlign w:val="subscript"/>
          <w:lang w:val="en-US"/>
        </w:rPr>
        <w:t>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- НГ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vertAlign w:val="subscript"/>
          <w:lang w:val="en-US"/>
        </w:rPr>
        <w:t>u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) / 2 = ( -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0,508915711 + 7,429711626 ) / 2 =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3,460397958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3) Определение количества верных в широком смысле знаков.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Дано неточное число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x = 5,71 , относительная погрешность равна 0,0056. </w:t>
      </w:r>
      <w:r>
        <w:rPr>
          <w:rFonts w:eastAsia="" w:ascii="Times new roman" w:hAnsi="Times new roman" w:eastAsiaTheme="minorEastAsia"/>
          <w:b w:val="false"/>
          <w:bCs w:val="false"/>
          <w:color w:val="000000"/>
          <w:sz w:val="28"/>
          <w:szCs w:val="28"/>
          <w:u w:val="none"/>
        </w:rPr>
        <w:t>Определить количество верных знаков в широком смысле неточного числа.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" w:ascii="Times new roman" w:hAnsi="Times new roman" w:eastAsiaTheme="minorEastAsia"/>
          <w:b w:val="false"/>
          <w:bCs w:val="false"/>
          <w:color w:val="000000"/>
          <w:sz w:val="28"/>
          <w:szCs w:val="28"/>
          <w:u w:val="none"/>
        </w:rPr>
        <w:t>Значащая цифра данного разряда является верной в широком смысле, если абсолютная погрешность не превышает единицы данного разряда.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" w:ascii="Times new roman" w:hAnsi="Times new roman" w:eastAsiaTheme="minorEastAsia"/>
          <w:b w:val="false"/>
          <w:bCs w:val="false"/>
          <w:color w:val="000000"/>
          <w:sz w:val="28"/>
          <w:szCs w:val="28"/>
          <w:u w:val="none"/>
        </w:rPr>
        <w:t>Абсолютная погрешность: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" w:ascii="Times new roman" w:hAnsi="Times new roman" w:eastAsiaTheme="minorEastAsia"/>
          <w:b w:val="false"/>
          <w:bCs w:val="false"/>
          <w:i w:val="false"/>
          <w:color w:val="000000"/>
          <w:sz w:val="28"/>
          <w:szCs w:val="28"/>
          <w:u w:val="none"/>
        </w:rPr>
        <w:t>∆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>x = δ(x) * x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" w:ascii="Times new roman" w:hAnsi="Times new roman" w:eastAsiaTheme="minorEastAsia"/>
          <w:b w:val="false"/>
          <w:bCs w:val="false"/>
          <w:i w:val="false"/>
          <w:color w:val="000000"/>
          <w:sz w:val="28"/>
          <w:szCs w:val="28"/>
          <w:u w:val="none"/>
        </w:rPr>
        <w:t>∆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 xml:space="preserve">x = 0,0056 * 5,71 = </w:t>
      </w:r>
      <w:r>
        <w:rPr>
          <w:rFonts w:ascii="Times new roman" w:hAnsi="Times new roman"/>
          <w:b/>
          <w:bCs/>
          <w:i w:val="false"/>
          <w:sz w:val="28"/>
          <w:szCs w:val="28"/>
          <w:u w:val="none"/>
        </w:rPr>
        <w:t xml:space="preserve">0,03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>Абсолютная погрешность превышает единицу разряда 10^(-2), однако не превышает единицу более старших разрядов.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 xml:space="preserve">Следовательно, в данном случае верных знаков в широком смысле всего </w:t>
      </w:r>
      <w:r>
        <w:rPr>
          <w:rFonts w:ascii="Times new roman" w:hAnsi="Times new roman"/>
          <w:b/>
          <w:bCs/>
          <w:i w:val="false"/>
          <w:sz w:val="28"/>
          <w:szCs w:val="28"/>
          <w:u w:val="none"/>
        </w:rPr>
        <w:t>2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  <w:u w:val="none"/>
        </w:rPr>
        <w:t>: 5 и 7.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4) Исследование ошибок, связанных с числами с плавающей точкой.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А) Результат работы исходной программы: </w:t>
      </w:r>
    </w:p>
    <w:p>
      <w:pPr>
        <w:pStyle w:val="Normal"/>
        <w:spacing w:lineRule="auto" w:line="360"/>
        <w:ind w:firstLine="3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sum = 50.499985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6120130" cy="24193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 xml:space="preserve">Разница между ожидаемым и полученным значением обуславливается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ошибками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округления на каждой итерации цикла.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Б) Результат работы программы с типом счётчика double: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 xml:space="preserve">sum 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49.50000000000003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88900</wp:posOffset>
            </wp:positionH>
            <wp:positionV relativeFrom="paragraph">
              <wp:posOffset>-48260</wp:posOffset>
            </wp:positionV>
            <wp:extent cx="6120130" cy="261683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Это значение также отличается от ожидаемого результата. Разница между значениями, полученными с использованием float и double типов для хранения обусловлена разным количеством байт для хранения информации. Для float количество байт равно 8, для double - 16. Большее количество выделяемой памяти для хранения не даёт повышения точности, что означает, что причина такой погрешности кроется в выбранном алгоритме и аппаратной реализации операций сложения и сравнения. В данном случае, скорее всего, происходит пропуск последней итерации цикла.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-227330</wp:posOffset>
            </wp:positionH>
            <wp:positionV relativeFrom="paragraph">
              <wp:posOffset>586105</wp:posOffset>
            </wp:positionV>
            <wp:extent cx="6120130" cy="295275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ab/>
        <w:t>В) Результат работы программы с типом счётчика int: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 xml:space="preserve">sum 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50,5</w:t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Данное значение соответствует ожидаемому результату. Это связано с дискретным характером чисел int и единственностью их представления, что обеспечивает корректность вычислений без ошибок округления.</w:t>
      </w:r>
    </w:p>
    <w:p>
      <w:pPr>
        <w:pStyle w:val="Normal"/>
        <w:spacing w:lineRule="auto" w:line="36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Г) Результат работы программы с типом счётчика double и итерированием от большего к меньшему: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sum 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50.48999999999995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-52705</wp:posOffset>
            </wp:positionH>
            <wp:positionV relativeFrom="paragraph">
              <wp:posOffset>-635</wp:posOffset>
            </wp:positionV>
            <wp:extent cx="6120130" cy="265938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Результат отличается от ожидаемого (50,5) ввиду накопления погрешности при сложении чисел с плавающей точкой. Эта погрешность, в свою очередь, обусловлена неточностью хранения данных переменными типа double.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tbl>
      <w:tblPr>
        <w:tblStyle w:val="aff7"/>
        <w:tblW w:w="934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014"/>
        <w:gridCol w:w="3166"/>
        <w:gridCol w:w="3163"/>
      </w:tblGrid>
      <w:tr>
        <w:trPr/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Модификация программы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Результат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Комментарий</w:t>
            </w:r>
          </w:p>
        </w:tc>
      </w:tr>
      <w:tr>
        <w:trPr/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A) Тип счётчика - float, итерирование от меньшего к большему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firstLine="36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  <w:u w:val="none"/>
              </w:rPr>
              <w:t>50.499985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Ошибка связана с накоплением ошибок округления данных float по ходу выполнения программы.</w:t>
            </w:r>
          </w:p>
        </w:tc>
      </w:tr>
      <w:tr>
        <w:trPr/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Б) Тип счётчика - double, итерирование от меньшего к большему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  <w:u w:val="none"/>
              </w:rPr>
              <w:t>49.50000000000003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Ошибка связана с пропуском последней итерации добавления единицы, специфично для double.</w:t>
            </w:r>
          </w:p>
        </w:tc>
      </w:tr>
      <w:tr>
        <w:trPr>
          <w:trHeight w:val="1816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В) Тип счётчика - int, итерирование от меньшего к большему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50,5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Дискретный счётчик обеспечивает безопасность от непредсказуемого поведения и ошибок округления, благодаря чему программа выдаёт корректный результат.</w:t>
            </w:r>
          </w:p>
        </w:tc>
      </w:tr>
      <w:tr>
        <w:trPr>
          <w:trHeight w:val="103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Г) тип счётчика - double, итерирование от большего к меньшему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60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  <w:u w:val="none"/>
              </w:rPr>
              <w:t>50.</w:t>
            </w:r>
            <w:r>
              <w:rPr>
                <w:rFonts w:eastAsia="Times New Roman" w:ascii="DejaVu Sans Mono" w:hAnsi="DejaVu Sans Mono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position w:val="-1"/>
                <w:sz w:val="24"/>
                <w:szCs w:val="24"/>
                <w:u w:val="none"/>
              </w:rPr>
              <w:t>48999999999995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ind w:left="0" w:hanging="0"/>
              <w:jc w:val="center"/>
              <w:textAlignment w:val="top"/>
              <w:outlineLvl w:val="0"/>
              <w:rPr>
                <w:rFonts w:ascii="DejaVu Sans Mono" w:hAnsi="DejaVu Sans Mono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Times New Roman" w:ascii="DejaVu Sans Mono" w:hAnsi="DejaVu Sans Mono"/>
                <w:b w:val="false"/>
                <w:bCs w:val="false"/>
                <w:position w:val="-1"/>
                <w:sz w:val="24"/>
                <w:szCs w:val="24"/>
                <w:u w:val="none"/>
              </w:rPr>
              <w:t>Крайне высокая точность для числа с плавающей точкой, обусловлено отсутствием пропуска последней итерации и большей точностью double по сравнению с float.</w:t>
            </w:r>
          </w:p>
        </w:tc>
      </w:tr>
    </w:tbl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В ходе выполнения работы был исследован машинный эпсилон, обусловленный аппаратной частью ЭВМ, на которой была запущена программа на Java.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С помощью метода границ было найдено приближенное значение функции и величина ее абсолютной погрешности.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Для указанных в задании данных было определено количество верных знаков числа в широком смысле.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Были изучены особенности работы с числами с плавающей точкой.</w:t>
      </w:r>
    </w:p>
    <w:sectPr>
      <w:footerReference w:type="default" r:id="rId12"/>
      <w:type w:val="nextPage"/>
      <w:pgSz w:w="11906" w:h="16838"/>
      <w:pgMar w:left="1701" w:right="567" w:gutter="0" w:header="0" w:top="1134" w:footer="709" w:bottom="1268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80670515"/>
    </w:sdtPr>
    <w:sdtContent>
      <w:p>
        <w:pPr>
          <w:pStyle w:val="Style4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43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72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72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72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72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72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72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2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3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qFormat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21" w:customStyle="1">
    <w:name w:val="Цитата 2 Знак"/>
    <w:link w:val="Quote"/>
    <w:qFormat/>
    <w:rPr>
      <w:i/>
    </w:rPr>
  </w:style>
  <w:style w:type="character" w:styleId="Style6" w:customStyle="1">
    <w:name w:val="Выделенная цитата Знак"/>
    <w:link w:val="IntenseQuote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aptionChar" w:customStyle="1">
    <w:name w:val="Caption Char"/>
    <w:qFormat/>
    <w:rPr/>
  </w:style>
  <w:style w:type="character" w:styleId="Style7" w:customStyle="1">
    <w:name w:val="Текст сноски Знак"/>
    <w:qFormat/>
    <w:rPr>
      <w:sz w:val="18"/>
    </w:rPr>
  </w:style>
  <w:style w:type="character" w:styleId="Style8" w:customStyle="1">
    <w:name w:val="Символ сноски"/>
    <w:basedOn w:val="DefaultParagraphFont"/>
    <w:qFormat/>
    <w:rPr>
      <w:vertAlign w:val="superscript"/>
    </w:rPr>
  </w:style>
  <w:style w:type="character" w:styleId="Style9" w:customStyle="1">
    <w:name w:val="Привязка сноски"/>
    <w:rPr>
      <w:vertAlign w:val="superscript"/>
    </w:rPr>
  </w:style>
  <w:style w:type="character" w:styleId="Style10" w:customStyle="1">
    <w:name w:val="Текст концевой сноски Знак"/>
    <w:qFormat/>
    <w:rPr>
      <w:sz w:val="20"/>
    </w:rPr>
  </w:style>
  <w:style w:type="character" w:styleId="Style11" w:customStyle="1">
    <w:name w:val="Символ концевой сноски"/>
    <w:basedOn w:val="DefaultParagraphFont"/>
    <w:qFormat/>
    <w:rPr>
      <w:vertAlign w:val="superscript"/>
    </w:rPr>
  </w:style>
  <w:style w:type="character" w:styleId="Style12" w:customStyle="1">
    <w:name w:val="Привязка концевой сноски"/>
    <w:rPr>
      <w:vertAlign w:val="superscript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2" w:customStyle="1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13" w:customStyle="1">
    <w:name w:val="Название Знак"/>
    <w:basedOn w:val="DefaultParagraphFont"/>
    <w:link w:val="14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4" w:customStyle="1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6" w:customStyle="1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3" w:customStyle="1">
    <w:name w:val="Основной текст с отступом 2 Знак"/>
    <w:basedOn w:val="DefaultParagraphFont"/>
    <w:link w:val="BodyTextIndent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8" w:customStyle="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9" w:customStyle="1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4" w:customStyle="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Style20" w:customStyle="1">
    <w:name w:val="Интернет-ссылка"/>
    <w:basedOn w:val="DefaultParagraphFont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qFormat/>
    <w:rPr>
      <w:rFonts w:ascii="Times New Roman" w:hAnsi="Times New Roman" w:cs="Times New Roman"/>
      <w:shd w:fill="FFFFFF" w:val="clear"/>
    </w:rPr>
  </w:style>
  <w:style w:type="character" w:styleId="27" w:customStyle="1">
    <w:name w:val="Основной текст 2 Знак"/>
    <w:basedOn w:val="DefaultParagraphFont"/>
    <w:link w:val="BodyText2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BodyText3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21" w:customStyle="1">
    <w:name w:val="Текст Знак"/>
    <w:basedOn w:val="DefaultParagraphFont"/>
    <w:link w:val="PlainText"/>
    <w:qFormat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link w:val="Times1421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22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 w:customStyle="1">
    <w:name w:val="Текст абзаца Char"/>
    <w:link w:val="Style46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Style23" w:customStyle="1">
    <w:name w:val="Маркеры"/>
    <w:qFormat/>
    <w:rPr>
      <w:rFonts w:ascii="OpenSymbol" w:hAnsi="OpenSymbol" w:eastAsia="OpenSymbol" w:cs="OpenSymbol"/>
    </w:rPr>
  </w:style>
  <w:style w:type="character" w:styleId="Style24">
    <w:name w:val="Символ нумерации"/>
    <w:qFormat/>
    <w:rPr/>
  </w:style>
  <w:style w:type="character" w:styleId="Mord">
    <w:name w:val="mord"/>
    <w:basedOn w:val="DefaultParagraphFont"/>
    <w:qFormat/>
    <w:rPr/>
  </w:style>
  <w:style w:type="character" w:styleId="Mbin">
    <w:name w:val="mbin"/>
    <w:basedOn w:val="DefaultParagraphFont"/>
    <w:qFormat/>
    <w:rPr/>
  </w:style>
  <w:style w:type="character" w:styleId="Style25">
    <w:name w:val="Выделение жирным"/>
    <w:qFormat/>
    <w:rPr>
      <w:b/>
      <w:bCs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7">
    <w:name w:val="Body Text"/>
    <w:basedOn w:val="Normal"/>
    <w:link w:val="Style16"/>
    <w:pPr>
      <w:jc w:val="center"/>
      <w:outlineLvl w:val="2"/>
    </w:pPr>
    <w:rPr>
      <w:b/>
      <w:sz w:val="28"/>
    </w:rPr>
  </w:style>
  <w:style w:type="paragraph" w:styleId="Style28">
    <w:name w:val="List"/>
    <w:basedOn w:val="Style27"/>
    <w:pPr/>
    <w:rPr>
      <w:rFonts w:cs="Lohit Devanagari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ohit Devanagari"/>
    </w:rPr>
  </w:style>
  <w:style w:type="paragraph" w:styleId="Style31">
    <w:name w:val="Title"/>
    <w:basedOn w:val="Normal"/>
    <w:next w:val="Style27"/>
    <w:link w:val="Style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qFormat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Style31"/>
    <w:qFormat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Quote">
    <w:name w:val="Quote"/>
    <w:basedOn w:val="Normal"/>
    <w:next w:val="Normal"/>
    <w:link w:val="21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6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32">
    <w:name w:val="Footnote Text"/>
    <w:basedOn w:val="Normal"/>
    <w:link w:val="Style7"/>
    <w:pPr>
      <w:spacing w:before="0" w:after="40"/>
    </w:pPr>
    <w:rPr>
      <w:sz w:val="18"/>
    </w:rPr>
  </w:style>
  <w:style w:type="paragraph" w:styleId="Style33">
    <w:name w:val="Endnote Text"/>
    <w:basedOn w:val="Normal"/>
    <w:link w:val="Style10"/>
    <w:pPr/>
    <w:rPr>
      <w:sz w:val="20"/>
    </w:rPr>
  </w:style>
  <w:style w:type="paragraph" w:styleId="13">
    <w:name w:val="TOC 1"/>
    <w:basedOn w:val="Normal"/>
    <w:next w:val="Normal"/>
    <w:pPr>
      <w:spacing w:before="0" w:after="57"/>
    </w:pPr>
    <w:rPr/>
  </w:style>
  <w:style w:type="paragraph" w:styleId="28">
    <w:name w:val="TOC 2"/>
    <w:basedOn w:val="Normal"/>
    <w:next w:val="Normal"/>
    <w:pPr>
      <w:spacing w:before="0" w:after="57"/>
      <w:ind w:left="283" w:hanging="0"/>
    </w:pPr>
    <w:rPr/>
  </w:style>
  <w:style w:type="paragraph" w:styleId="34">
    <w:name w:val="TOC 3"/>
    <w:basedOn w:val="Normal"/>
    <w:next w:val="Normal"/>
    <w:pPr>
      <w:spacing w:before="0" w:after="57"/>
      <w:ind w:left="567" w:hanging="0"/>
    </w:pPr>
    <w:rPr/>
  </w:style>
  <w:style w:type="paragraph" w:styleId="44">
    <w:name w:val="TOC 4"/>
    <w:basedOn w:val="Normal"/>
    <w:next w:val="Normal"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pPr>
      <w:spacing w:before="0" w:after="57"/>
      <w:ind w:left="2268" w:hanging="0"/>
    </w:pPr>
    <w:rPr/>
  </w:style>
  <w:style w:type="paragraph" w:styleId="Style34">
    <w:name w:val="Index Heading"/>
    <w:basedOn w:val="Style26"/>
    <w:pPr/>
    <w:rPr/>
  </w:style>
  <w:style w:type="paragraph" w:styleId="Style35">
    <w:name w:val="TOC Heading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14" w:customStyle="1">
    <w:name w:val="Название1"/>
    <w:basedOn w:val="Normal"/>
    <w:link w:val="Style13"/>
    <w:qFormat/>
    <w:pPr>
      <w:jc w:val="center"/>
    </w:pPr>
    <w:rPr>
      <w:b/>
      <w:sz w:val="22"/>
    </w:rPr>
  </w:style>
  <w:style w:type="paragraph" w:styleId="Style36">
    <w:name w:val="Body Text Indent"/>
    <w:basedOn w:val="Normal"/>
    <w:link w:val="Style14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37" w:customStyle="1">
    <w:name w:val="список с точками"/>
    <w:basedOn w:val="Normal"/>
    <w:qFormat/>
    <w:pPr>
      <w:tabs>
        <w:tab w:val="clear" w:pos="720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38" w:customStyle="1">
    <w:name w:val="Для таблиц"/>
    <w:basedOn w:val="Normal"/>
    <w:qFormat/>
    <w:pPr>
      <w:spacing w:lineRule="auto" w:line="240"/>
    </w:pPr>
    <w:rPr>
      <w:sz w:val="20"/>
    </w:rPr>
  </w:style>
  <w:style w:type="paragraph" w:styleId="NormalWeb">
    <w:name w:val="Normal (Web)"/>
    <w:basedOn w:val="Normal"/>
    <w:qFormat/>
    <w:pPr>
      <w:numPr>
        <w:ilvl w:val="0"/>
        <w:numId w:val="1"/>
      </w:numPr>
      <w:tabs>
        <w:tab w:val="left" w:pos="720" w:leader="none"/>
      </w:tabs>
      <w:spacing w:before="280" w:after="280"/>
      <w:ind w:left="720" w:hanging="0"/>
    </w:pPr>
    <w:rPr/>
  </w:style>
  <w:style w:type="paragraph" w:styleId="Style39">
    <w:name w:val="Subtitle"/>
    <w:basedOn w:val="Normal"/>
    <w:next w:val="Normal"/>
    <w:link w:val="Style15"/>
    <w:qFormat/>
    <w:pPr>
      <w:jc w:val="center"/>
    </w:pPr>
    <w:rPr>
      <w:b/>
      <w:smallCaps/>
    </w:rPr>
  </w:style>
  <w:style w:type="paragraph" w:styleId="BodyTextIndent2">
    <w:name w:val="Body Text Indent 2"/>
    <w:basedOn w:val="Normal"/>
    <w:link w:val="23"/>
    <w:qFormat/>
    <w:pPr>
      <w:tabs>
        <w:tab w:val="clear" w:pos="720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1"/>
    <w:qFormat/>
    <w:pPr>
      <w:tabs>
        <w:tab w:val="clear" w:pos="720"/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40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41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42" w:customStyle="1">
    <w:name w:val="Колонтитул"/>
    <w:basedOn w:val="Normal"/>
    <w:qFormat/>
    <w:pPr/>
    <w:rPr/>
  </w:style>
  <w:style w:type="paragraph" w:styleId="Style43">
    <w:name w:val="Footer"/>
    <w:basedOn w:val="Normal"/>
    <w:link w:val="Style17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overflowPunct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ru-RU" w:bidi="ar-SA"/>
    </w:rPr>
  </w:style>
  <w:style w:type="paragraph" w:styleId="Style44">
    <w:name w:val="Header"/>
    <w:basedOn w:val="Normal"/>
    <w:link w:val="Style1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qFormat/>
    <w:pPr>
      <w:widowControl w:val="false"/>
      <w:suppressAutoHyphens w:val="true"/>
      <w:overflowPunct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222" w:customStyle="1">
    <w:name w:val="Заголовок №2 (2)"/>
    <w:basedOn w:val="Normal"/>
    <w:link w:val="221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45" w:customStyle="1">
    <w:name w:val="Стиль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0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27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BodyText3">
    <w:name w:val="Body Text 3"/>
    <w:basedOn w:val="Normal"/>
    <w:link w:val="32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en-US" w:eastAsia="ru-RU" w:bidi="ar-SA"/>
    </w:rPr>
  </w:style>
  <w:style w:type="paragraph" w:styleId="Style161" w:customStyle="1">
    <w:name w:val="Style16"/>
    <w:qFormat/>
    <w:pPr>
      <w:widowControl w:val="false"/>
      <w:suppressAutoHyphens w:val="true"/>
      <w:overflowPunct w:val="fals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en-US" w:eastAsia="ru-RU" w:bidi="ar-SA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qFormat/>
    <w:pPr>
      <w:tabs>
        <w:tab w:val="clear" w:pos="720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tabs>
        <w:tab w:val="clear" w:pos="720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qFormat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1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 w:customStyle="1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21"/>
    <w:qFormat/>
    <w:pPr/>
    <w:rPr>
      <w:rFonts w:ascii="Courier New" w:hAnsi="Courier New" w:cs="Courier New"/>
      <w:sz w:val="20"/>
      <w:szCs w:val="20"/>
    </w:rPr>
  </w:style>
  <w:style w:type="paragraph" w:styleId="35" w:customStyle="1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45" w:customStyle="1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tabs>
        <w:tab w:val="clear" w:pos="720"/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3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22"/>
    <w:qFormat/>
    <w:pPr/>
    <w:rPr>
      <w:rFonts w:ascii="Tahoma" w:hAnsi="Tahoma" w:cs="Tahoma"/>
      <w:sz w:val="16"/>
      <w:szCs w:val="16"/>
    </w:rPr>
  </w:style>
  <w:style w:type="paragraph" w:styleId="63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46" w:customStyle="1">
    <w:name w:val="Текст абзаца"/>
    <w:basedOn w:val="Normal"/>
    <w:link w:val="Char"/>
    <w:qFormat/>
    <w:pPr>
      <w:ind w:firstLine="709"/>
      <w:jc w:val="both"/>
    </w:pPr>
    <w:rPr/>
  </w:style>
  <w:style w:type="paragraph" w:styleId="Style4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48" w:customStyle="1">
    <w:name w:val="Заголовок таблицы"/>
    <w:basedOn w:val="Style47"/>
    <w:qFormat/>
    <w:pPr>
      <w:jc w:val="center"/>
    </w:pPr>
    <w:rPr>
      <w:b/>
      <w:bCs/>
    </w:rPr>
  </w:style>
  <w:style w:type="paragraph" w:styleId="Style4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10" w:customStyle="1">
    <w:name w:val="Импортированный стиль 2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D3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D0BAA5CFD142DA85664C05A08048CA">
    <w:name w:val="7AD0BAA5CFD142DA85664C05A08048CA"/>
    <w:rsid w:val="00FE3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0688-2707-47E7-9D6D-05A1FF34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Application>LibreOffice/7.3.7.2$Linux_X86_64 LibreOffice_project/30$Build-2</Application>
  <AppVersion>15.0000</AppVersion>
  <Pages>11</Pages>
  <Words>1469</Words>
  <Characters>9070</Characters>
  <CharactersWithSpaces>10468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2023-09-11T14:17:00Z</dcterms:created>
  <dc:creator>SAP</dc:creator>
  <dc:description/>
  <dc:language>ru-RU</dc:language>
  <cp:lastModifiedBy/>
  <dcterms:modified xsi:type="dcterms:W3CDTF">2025-03-17T15:32:55Z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