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360" w:before="240" w:after="0"/>
        <w:rPr/>
      </w:pPr>
      <w:r>
        <w:rPr/>
        <w:t>Практическая работа №3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</w:rPr>
        <w:t>Цель работы:</w:t>
      </w:r>
      <w:r>
        <w:rPr/>
        <w:t xml:space="preserve"> нахождение корня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методами </w:t>
      </w:r>
      <w:r>
        <w:rPr>
          <w:i/>
        </w:rPr>
        <w:t>Ньютона</w:t>
      </w:r>
      <w:r>
        <w:rPr/>
        <w:t xml:space="preserve">, </w:t>
      </w:r>
      <w:r>
        <w:rPr>
          <w:i/>
        </w:rPr>
        <w:t>простых итераций, хорд</w:t>
      </w:r>
      <w:r>
        <w:rPr/>
        <w:t>, исследование скорости сходимости и обусловленности метода.</w:t>
      </w:r>
    </w:p>
    <w:p>
      <w:pPr>
        <w:pStyle w:val="Normal"/>
        <w:spacing w:lineRule="auto" w:line="360"/>
        <w:jc w:val="both"/>
        <w:rPr/>
      </w:pPr>
      <w:r>
        <w:rPr>
          <w:b/>
        </w:rPr>
        <w:t>Основные теоретические положения.</w:t>
      </w:r>
      <w:r>
        <w:rPr/>
        <w:t xml:space="preserve"> </w:t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>
          <w:b/>
        </w:rPr>
        <w:t>Метод Ньютона.</w:t>
      </w:r>
      <w:r>
        <w:rPr/>
        <w:t xml:space="preserve"> В случае, когда известно хорошее начальное приближение решения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эффективным методом повышения точности является метод </w:t>
      </w:r>
      <w:r>
        <w:rPr>
          <w:i/>
        </w:rPr>
        <w:t>Ньютона</w:t>
      </w:r>
      <w:r>
        <w:rPr/>
        <w:t>. Он состоит в построении итерационной последовательности (1)</w:t>
      </w:r>
    </w:p>
    <w:p>
      <w:pPr>
        <w:pStyle w:val="Normal"/>
        <w:spacing w:lineRule="auto" w:line="360"/>
        <w:ind w:left="0" w:right="0" w:firstLine="567"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              </w:t>
      </w:r>
      <w:r>
        <w:rPr/>
        <w:t xml:space="preserve">(1) </w:t>
      </w:r>
    </w:p>
    <w:p>
      <w:pPr>
        <w:pStyle w:val="Normal"/>
        <w:spacing w:lineRule="auto" w:line="360"/>
        <w:jc w:val="both"/>
        <w:rPr/>
      </w:pPr>
      <w:r>
        <w:rPr/>
        <w:t xml:space="preserve">где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0.</m:t>
        </m:r>
      </m:oMath>
      <w:r>
        <w:rPr/>
        <w:t xml:space="preserve"> Последовательность сходится к корню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. По теореме о сходимости метода </w:t>
      </w:r>
      <w:r>
        <w:rPr>
          <w:i/>
        </w:rPr>
        <w:t>Ньютона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должен быть простым корнем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  <w:r>
        <w:rPr/>
        <w:t xml:space="preserve"> в отсекающем промежутке этого корня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  <w:r>
        <w:rPr/>
        <w:t xml:space="preserve">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– дважды непрерывно дифференцируема 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0.</m:t>
        </m:r>
      </m:oMath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Для оценки погрешности </w:t>
      </w:r>
      <w:r>
        <w:rPr>
          <w:i/>
        </w:rPr>
        <w:t>n</w:t>
      </w:r>
      <w:r>
        <w:rPr/>
        <w:t>-го приближения корня предлагается пользоваться неравенством (2)</w:t>
      </w:r>
    </w:p>
    <w:p>
      <w:pPr>
        <w:pStyle w:val="Normal"/>
        <w:spacing w:lineRule="auto" w:line="360" w:before="0" w:after="0"/>
        <w:ind w:left="0" w:right="0" w:firstLine="709"/>
        <w:contextualSpacing/>
        <w:jc w:val="righ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</m:oMath>
      <w:r>
        <w:rPr/>
        <w:t xml:space="preserve">                                   </w:t>
      </w:r>
      <w:r>
        <w:rPr/>
        <w:t>(2)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- наибольшее значение модуля второй производной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</m:oMath>
      <w:r>
        <w:rPr/>
        <w:t xml:space="preserve"> на отрезке [a,b];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- наименьшее значение модуля первой производной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</m:oMath>
      <w:r>
        <w:rPr/>
        <w:t xml:space="preserve"> на отрезке [a,b]. Таким образом, если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/>
        <w:t xml:space="preserve">, то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p>
          <m:e>
            <m:r>
              <w:rPr>
                <w:rFonts w:ascii="Cambria Math" w:hAnsi="Cambria Math"/>
              </w:rPr>
              <m:t xml:space="preserve">ε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. 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и имеет место квадратическая сходимость. 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Если необходимо найти корень с точностью </w:t>
      </w:r>
      <w:r>
        <w:rPr>
          <w:rFonts w:eastAsia="Symbol" w:cs="Symbol" w:ascii="Symbol" w:hAnsi="Symbol"/>
          <w:i/>
        </w:rPr>
        <w:t></w:t>
      </w:r>
      <w:r>
        <w:rPr/>
        <w:t>, то итерационный процесс можно прекращать, когда выполняется неравенство (3)</w:t>
      </w:r>
    </w:p>
    <w:p>
      <w:pPr>
        <w:pStyle w:val="Normal"/>
        <w:spacing w:lineRule="auto" w:line="360" w:before="0" w:after="0"/>
        <w:ind w:left="0" w:right="0" w:firstLine="709"/>
        <w:contextualSpacing/>
        <w:jc w:val="righ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ε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.</m:t>
            </m:r>
          </m:e>
        </m:rad>
      </m:oMath>
      <w:r>
        <w:rPr/>
        <w:t xml:space="preserve">                                               </w:t>
      </w:r>
      <w:r>
        <w:rPr/>
        <w:t>(3)</w:t>
      </w:r>
    </w:p>
    <w:p>
      <w:pPr>
        <w:pStyle w:val="Normal"/>
        <w:spacing w:lineRule="auto" w:line="360"/>
        <w:jc w:val="both"/>
        <w:rPr/>
      </w:pPr>
      <w:r>
        <w:rPr/>
        <w:t xml:space="preserve">Если на </w:t>
      </w:r>
      <w:r>
        <w:rPr>
          <w:i/>
        </w:rPr>
        <w:t>(n-1)</w:t>
      </w:r>
      <w:r>
        <w:rPr/>
        <w:t xml:space="preserve">-м шаге очередное приближение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не удовлетворяет условию окончания процесса, то вычисляются величины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 и следующие приближение корня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</m:oMath>
      <w:r>
        <w:rPr/>
        <w:t xml:space="preserve">. При выполнении условия (3)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принимается за приближенное значение корня </w:t>
      </w:r>
      <w:r>
        <w:rPr>
          <w:i/>
        </w:rPr>
        <w:t>с</w:t>
      </w:r>
      <w:r>
        <w:rPr/>
        <w:t xml:space="preserve">, вычисленное с точностью </w:t>
      </w:r>
      <w:r>
        <w:rPr>
          <w:rFonts w:eastAsia="Symbol" w:cs="Symbol" w:ascii="Symbol" w:hAnsi="Symbol"/>
          <w:i/>
        </w:rPr>
        <w:t></w:t>
      </w:r>
      <w:r>
        <w:rPr/>
        <w:t>.</w:t>
      </w:r>
    </w:p>
    <w:p>
      <w:pPr>
        <w:pStyle w:val="Normal"/>
        <w:spacing w:lineRule="auto" w:line="360"/>
        <w:ind w:left="-1134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Метод простых итераций. </w:t>
      </w:r>
      <w:r>
        <w:rPr/>
        <w:t xml:space="preserve">Метод </w:t>
      </w:r>
      <w:r>
        <w:rPr>
          <w:i/>
        </w:rPr>
        <w:t>простых итераций</w:t>
      </w:r>
      <w:r>
        <w:rPr/>
        <w:t xml:space="preserve"> решения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заключается в замене исходного уравнения эквивалентным ему уравнением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и построении последовательности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, сходящейся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∞</m:t>
        </m:r>
      </m:oMath>
      <w:r>
        <w:rPr/>
        <w:t xml:space="preserve"> к точному решению 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Корень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является точкой пересечения двух графиков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. Сходимость метода зависит от вида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. В зависимости от величины модуля первой производной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</m:oMath>
      <w:r>
        <w:rPr/>
        <w:t xml:space="preserve"> метод может сходиться и расходиться.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Достаточные условия сходимости метода </w:t>
      </w:r>
      <w:r>
        <w:rPr>
          <w:i/>
        </w:rPr>
        <w:t>простых итераций</w:t>
      </w:r>
      <w:r>
        <w:rPr/>
        <w:t xml:space="preserve"> формулируются следующей теоремой: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Если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определена на отрезке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, дифференцируема, то существует число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/>
        <w:t xml:space="preserve">, такое что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на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, и последовательность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,сходится к единственному решению на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(1)</w:t>
      </w:r>
    </w:p>
    <w:p>
      <w:pPr>
        <w:pStyle w:val="Normal"/>
        <w:spacing w:lineRule="auto" w:line="360" w:before="0" w:after="0"/>
        <w:ind w:left="0" w:right="0" w:firstLine="709"/>
        <w:contextualSpacing/>
        <w:jc w:val="right"/>
        <w:rPr/>
      </w:pP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func>
        <m:r>
          <w:rPr>
            <w:rFonts w:ascii="Cambria Math" w:hAnsi="Cambria Math"/>
          </w:rPr>
          <m:t xml:space="preserve">=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φ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  <m:e/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cϵ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.</m:t>
            </m:r>
          </m:e>
        </m:func>
      </m:oMath>
      <w:r>
        <w:rPr/>
        <w:t xml:space="preserve">                     </w:t>
      </w:r>
      <w:r>
        <w:rPr/>
        <w:t>(1)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Если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то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|, если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то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|.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Рассмотрим один шаг итерационного процесса. Исходя из найденного на предыдущем шаге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вычисляется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. Если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</m:oMath>
      <w:r>
        <w:rPr/>
        <w:t xml:space="preserve">, то полагается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  <w:r>
        <w:rPr/>
        <w:t xml:space="preserve"> и выполняется очередная итерация. Если же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/>
        <w:t xml:space="preserve">, то вычисления заканчиваются и за приближенное значение корня принимается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  <w:r>
        <w:rPr/>
        <w:t xml:space="preserve">. Погрешность результата вычислений зависит от знака производной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: при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: погрешность определения корня составляет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qε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/>
        <w:t xml:space="preserve">, а при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погрешность не превышает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 xml:space="preserve">. 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/>
        <w:t xml:space="preserve">- число, такое, что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на отрезке [a,b]. Существование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/>
        <w:t xml:space="preserve"> является условием сходимости метода в соответствии с отмеченной выше теоремой.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Для применения метода </w:t>
      </w:r>
      <w:r>
        <w:rPr>
          <w:i/>
        </w:rPr>
        <w:t xml:space="preserve">простых итераций </w:t>
      </w:r>
      <w:r>
        <w:rPr/>
        <w:t xml:space="preserve">определяющее значение имеет выбор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, в уравнении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, эквивалентном исходному. Функцию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необходимо подбирать так, чтобы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Это обусловливается тем, что если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на отрезке [a,b], то последовательные приближения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. будут колебаться около корня </w:t>
      </w:r>
      <w:r>
        <w:rPr>
          <w:i/>
        </w:rPr>
        <w:t>c</w:t>
      </w:r>
      <w:r>
        <w:rPr/>
        <w:t xml:space="preserve">, если же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φ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то последовательные приближения будут сходиться к корню </w:t>
      </w:r>
      <w:r>
        <w:rPr>
          <w:i/>
        </w:rPr>
        <w:t>c</w:t>
      </w:r>
      <w:r>
        <w:rPr/>
        <w:t xml:space="preserve"> монотонно. 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Число обусловленности метода </w:t>
      </w:r>
      <w:r>
        <w:rPr>
          <w:i/>
        </w:rPr>
        <w:t>простых итераций</w:t>
      </w:r>
      <w:r>
        <w:rPr/>
        <w:t xml:space="preserve"> (2)</w:t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ν</m:t>
              </m:r>
            </m:e>
            <m:sub>
              <m:r>
                <w:rPr>
                  <w:rFonts w:ascii="Cambria Math" w:hAnsi="Cambria Math"/>
                </w:rPr>
                <m:t xml:space="preserve">Δ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.</m:t>
              </m:r>
            </m:den>
          </m:f>
        </m:oMath>
      </m:oMathPara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outlineLvl w:val="0"/>
        <w:rPr>
          <w:rFonts w:cs="Times New Roman"/>
          <w:b/>
          <w:b/>
          <w:sz w:val="32"/>
          <w:szCs w:val="32"/>
        </w:rPr>
      </w:pPr>
      <w:bookmarkStart w:id="0" w:name="_Toc88393463"/>
      <w:r>
        <w:rPr>
          <w:rFonts w:cs="Times New Roman"/>
          <w:b/>
          <w:sz w:val="32"/>
          <w:szCs w:val="32"/>
        </w:rPr>
        <w:t>Метод хорд</w:t>
      </w:r>
      <w:bookmarkEnd w:id="0"/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 xml:space="preserve">Пусть найден отрезок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, на котором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меняет знак. Для определенности положим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/>
        <w:t xml:space="preserve">&gt;0,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. В методе </w:t>
      </w:r>
      <w:r>
        <w:rPr>
          <w:i/>
        </w:rPr>
        <w:t>хорд</w:t>
      </w:r>
      <w:r>
        <w:rPr/>
        <w:t xml:space="preserve"> процесс итераций состоит в том, что в качестве приближений к корню уравнения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=0 принимаются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/>
        <w:t xml:space="preserve"> . . . точек пересечения хорды с осью абсцисс, как это показано на рисунке 2.</w:t>
      </w:r>
    </w:p>
    <w:p>
      <w:pPr>
        <w:pStyle w:val="Normal"/>
        <w:spacing w:lineRule="auto" w:line="360"/>
        <w:ind w:left="0" w:right="0" w:firstLine="567"/>
        <w:jc w:val="both"/>
        <w:rPr/>
      </w:pPr>
      <w:r>
        <w:rPr/>
        <mc:AlternateContent>
          <mc:Choice Requires="wpg">
            <w:drawing>
              <wp:inline distT="0" distB="0" distL="0" distR="0">
                <wp:extent cx="5353685" cy="3297555"/>
                <wp:effectExtent l="114300" t="0" r="114300" b="0"/>
                <wp:docPr id="1" name="Полотно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560" cy="3297600"/>
                          <a:chOff x="0" y="0"/>
                          <a:chExt cx="5353560" cy="3297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53560" cy="3297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82040" y="255240"/>
                            <a:ext cx="15120" cy="278964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9280" y="1827360"/>
                            <a:ext cx="4808160" cy="756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2840" y="320040"/>
                            <a:ext cx="3754080" cy="261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28" h="7258">
                                <a:moveTo>
                                  <a:pt x="10428" y="7212"/>
                                </a:moveTo>
                                <a:cubicBezTo>
                                  <a:pt x="5001" y="7664"/>
                                  <a:pt x="332" y="4802"/>
                                  <a:pt x="1" y="819"/>
                                </a:cubicBezTo>
                                <a:lnTo>
                                  <a:pt x="10428" y="7212"/>
                                </a:lnTo>
                                <a:moveTo>
                                  <a:pt x="10428" y="7212"/>
                                </a:moveTo>
                                <a:cubicBezTo>
                                  <a:pt x="5001" y="7664"/>
                                  <a:pt x="332" y="4802"/>
                                  <a:pt x="1" y="819"/>
                                </a:cubicBezTo>
                                <a:lnTo>
                                  <a:pt x="9828" y="0"/>
                                </a:lnTo>
                                <a:lnTo>
                                  <a:pt x="10428" y="72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3560" y="615240"/>
                            <a:ext cx="3754800" cy="230256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0320" y="1850400"/>
                            <a:ext cx="1440" cy="90684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3560" y="631800"/>
                            <a:ext cx="1996560" cy="211716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67480" y="1827360"/>
                            <a:ext cx="22320" cy="53208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764240" y="1903680"/>
                            <a:ext cx="403920" cy="275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9240" y="60480"/>
                            <a:ext cx="404640" cy="275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760" y="1858680"/>
                            <a:ext cx="404640" cy="27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63400" y="257040"/>
                            <a:ext cx="404640" cy="27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84040" y="2703240"/>
                            <a:ext cx="405000" cy="275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387320" y="1850400"/>
                            <a:ext cx="405000" cy="27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12960" y="1850400"/>
                            <a:ext cx="405000" cy="27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878920" y="1442160"/>
                            <a:ext cx="519480" cy="350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80000" y="1419120"/>
                            <a:ext cx="47376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5800" y="2825280"/>
                            <a:ext cx="405000" cy="373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  <w:p>
                              <w:pPr>
                                <w:spacing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99680" y="1515240"/>
                            <a:ext cx="336600" cy="26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Times New Roman" w:hAnsi="Times New Roman"/>
                                </w:rPr>
                                <w:t>с</w:t>
                              </w:r>
                            </w:p>
                            <w:p>
                              <w:pPr>
                                <w:spacing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Полотно 37" style="position:absolute;margin-left:0pt;margin-top:-259.7pt;width:421.55pt;height:259.65pt" coordorigin="0,-5194" coordsize="8431,51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t" o:allowincell="f" style="position:absolute;left:0;top:-5194;width:8430;height:5192;mso-wrap-style:none;v-text-anchor:middle;mso-position-vertical:top" type="_x0000_t75">
                  <v:fill o:detectmouseclick="t" on="false"/>
                  <v:stroke color="black" joinstyle="miter" endcap="flat"/>
                  <w10:wrap type="none"/>
                </v:shap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8" stroked="t" o:allowincell="f" style="position:absolute;left:759;top:-4792;width:23;height:4392;flip:xy;mso-wrap-style:none;v-text-anchor:middle;mso-position-vertical:top" type="_x0000_t32">
                  <v:fill o:detectmouseclick="t" on="false"/>
                  <v:stroke color="black" endarrow="block" endarrowwidth="medium" endarrowlength="medium" joinstyle="round" endcap="flat"/>
                  <w10:wrap type="none"/>
                </v:shape>
                <v:shape id="shape_0" ID="AutoShape 39" stroked="t" o:allowincell="f" style="position:absolute;left:566;top:-2316;width:7571;height:11;flip:y;mso-wrap-style:none;v-text-anchor:middle;mso-position-vertical:top" type="_x0000_t32">
                  <v:fill o:detectmouseclick="t" on="false"/>
                  <v:stroke color="black" endarrow="block" endarrowwidth="medium" endarrowlength="medium" joinstyle="round" endcap="flat"/>
                  <w10:wrap type="none"/>
                </v:shape>
                <v:shape id="shape_0" ID="Arc 40" coordsize="10428,7665" path="m10427,7212c5000,7664,331,4802,0,819l10427,7212xm10427,7212c5000,7664,331,4802,0,819l9827,0l10427,7212xe" stroked="t" o:allowincell="f" style="position:absolute;left:1485;top:-4690;width:5911;height:4114;mso-wrap-style:none;v-text-anchor:middle;mso-position-vertical:top">
                  <v:fill o:detectmouseclick="t" on="false"/>
                  <v:stroke color="black" joinstyle="round" endcap="flat"/>
                  <w10:wrap type="none"/>
                </v:shape>
                <v:shape id="shape_0" ID="AutoShape 42" stroked="t" o:allowincell="f" style="position:absolute;left:1486;top:-4225;width:5912;height:3625;mso-wrap-style:none;v-text-anchor:middle;mso-position-vertical:top" type="_x0000_t32">
                  <v:fill o:detectmouseclick="t" on="false"/>
                  <v:stroke color="black" joinstyle="round" endcap="flat"/>
                  <w10:wrap type="none"/>
                </v:shape>
                <v:shape id="shape_0" ID="AutoShape 45" stroked="t" o:allowincell="f" style="position:absolute;left:4599;top:-2280;width:1;height:1427;mso-wrap-style:none;v-text-anchor:middle;mso-position-vertical:top" type="_x0000_t32">
                  <v:fill o:detectmouseclick="t" on="false"/>
                  <v:stroke color="black" joinstyle="round" endcap="flat"/>
                  <w10:wrap type="none"/>
                </v:shape>
                <v:shape id="shape_0" ID="AutoShape 50" stroked="t" o:allowincell="f" style="position:absolute;left:1486;top:-4199;width:3143;height:3333;mso-wrap-style:none;v-text-anchor:middle;mso-position-vertical:top" type="_x0000_t32">
                  <v:fill o:detectmouseclick="t" on="false"/>
                  <v:stroke color="black" joinstyle="round" endcap="flat"/>
                  <w10:wrap type="none"/>
                </v:shape>
                <v:shape id="shape_0" ID="AutoShape 51" stroked="t" o:allowincell="f" style="position:absolute;left:3256;top:-2316;width:34;height:837;mso-wrap-style:none;v-text-anchor:middle;mso-position-vertical:top" type="_x0000_t32">
                  <v:fill o:detectmouseclick="t" on="false"/>
                  <v:stroke color="black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Box 52" fillcolor="white" stroked="t" o:allowincell="f" style="position:absolute;left:7503;top:-2196;width:635;height:432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53" fillcolor="white" stroked="t" o:allowincell="f" style="position:absolute;left:62;top:-5099;width:636;height:432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54" fillcolor="white" stroked="t" o:allowincell="f" style="position:absolute;left:23;top:-2267;width:636;height:430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55" fillcolor="white" stroked="t" o:allowincell="f" style="position:absolute;left:887;top:-4789;width:636;height:430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56" fillcolor="white" stroked="t" o:allowincell="f" style="position:absolute;left:7534;top:-937;width:637;height:432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57" fillcolor="white" stroked="t" o:allowincell="f" style="position:absolute;left:6909;top:-2280;width:637;height:430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58" fillcolor="white" stroked="t" o:allowincell="f" style="position:absolute;left:1438;top:-2280;width:637;height:430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59" fillcolor="white" stroked="t" o:allowincell="f" style="position:absolute;left:4534;top:-2923;width:817;height:551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60" fillcolor="white" stroked="t" o:allowincell="f" style="position:absolute;left:3118;top:-2959;width:745;height:539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61" fillcolor="white" stroked="t" o:allowincell="f" style="position:absolute;left:4198;top:-745;width:637;height:587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  <w:p>
                        <w:pPr>
                          <w:spacing w:lineRule="auto" w:line="240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  <v:shape id="shape_0" ID="Text Box 62" fillcolor="white" stroked="t" o:allowincell="f" style="position:absolute;left:2204;top:-2808;width:529;height:419;mso-wrap-style:square;v-text-anchor:top;mso-position-vertical:top" type="_x0000_t202">
                  <v:textbox>
                    <w:txbxContent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rFonts w:ascii="Times New Roman" w:hAnsi="Times New Roman"/>
                          </w:rPr>
                          <w:t>с</w:t>
                        </w:r>
                      </w:p>
                      <w:p>
                        <w:pPr>
                          <w:spacing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white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ind w:left="0" w:right="0" w:firstLine="567"/>
        <w:jc w:val="center"/>
        <w:rPr/>
      </w:pPr>
      <w:r>
        <w:rPr/>
        <w:t>Рисунок 2 – Построение хорд в используемом методе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Сначала находится уравнение хорды АВ (прямой, проходящей через 2 точки):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 xml:space="preserve">. Для точки пересечения ее с осью абсцисс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 xml:space="preserve"> получается уравнение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/>
        <w:t xml:space="preserve">. Далее сравниваются знаки величин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/>
        <w:t xml:space="preserve"> и для рассматриваемого случая оказывается, что корень находится в интервале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/>
        <w:t xml:space="preserve">, так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. Отрезок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 отбрасывается. Следующая итерации состоит в определении нового приближения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- точки пересечения хорды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с осью абсцисс и т.д. Итерационный процесс продолжается до тех пор, пока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 не станет по модулю меньше заданного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/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  <w:t xml:space="preserve">Алгоритмы методов </w:t>
      </w:r>
      <w:r>
        <w:rPr>
          <w:i/>
        </w:rPr>
        <w:t>бисекции</w:t>
      </w:r>
      <w:r>
        <w:rPr/>
        <w:t xml:space="preserve"> и </w:t>
      </w:r>
      <w:r>
        <w:rPr>
          <w:i/>
        </w:rPr>
        <w:t>хорд</w:t>
      </w:r>
      <w:r>
        <w:rPr/>
        <w:t xml:space="preserve"> похожи, однако метод хорд в ряде случаев дает более быструю сходимость итерационного процесса, причем успех его применения, как и метода </w:t>
      </w:r>
      <w:r>
        <w:rPr>
          <w:i/>
        </w:rPr>
        <w:t>бисекции</w:t>
      </w:r>
      <w:r>
        <w:rPr/>
        <w:t>, гарантирован. Метод обладает линейной сходимостью.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 xml:space="preserve">Порядок выполнения работы: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 xml:space="preserve">Нахождение области определения функции, локализация корня уравнения </w:t>
      </w:r>
      <w:r>
        <w:rPr>
          <w:rFonts w:cs="Cambria Math" w:ascii="Cambria Math" w:hAnsi="Cambria Math"/>
        </w:rPr>
        <w:t>𝑓</w:t>
      </w:r>
      <w:r>
        <w:rPr/>
        <w:t>(</w:t>
      </w:r>
      <w:r>
        <w:rPr>
          <w:rFonts w:cs="Cambria Math" w:ascii="Cambria Math" w:hAnsi="Cambria Math"/>
        </w:rPr>
        <w:t>𝑥</w:t>
      </w:r>
      <w:r>
        <w:rPr/>
        <w:t xml:space="preserve">) = 0, взятие первой и второй производных вручную, нахождение их минимума и максимума. </w:t>
        <w:tab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Для метода Ньютона:</w:t>
      </w:r>
    </w:p>
    <w:p>
      <w:pPr>
        <w:pStyle w:val="ListParagraph"/>
        <w:numPr>
          <w:ilvl w:val="1"/>
          <w:numId w:val="2"/>
        </w:numPr>
        <w:spacing w:lineRule="auto" w:line="360" w:before="0" w:after="200"/>
        <w:contextualSpacing/>
        <w:jc w:val="both"/>
        <w:rPr/>
      </w:pPr>
      <w:r>
        <w:rPr/>
        <w:t xml:space="preserve">Проверить функцию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на выпуклость вверх или вниз, выбрать начальное приближение корня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ϵ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,</m:t>
        </m:r>
      </m:oMath>
      <w:r>
        <w:rPr/>
        <w:t>так чтобы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200"/>
        <w:contextualSpacing/>
        <w:jc w:val="both"/>
        <w:rPr/>
      </w:pPr>
      <w:r>
        <w:rPr/>
        <w:t xml:space="preserve">Получить аналитическое выражение функций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.</m:t>
        </m:r>
      </m:oMath>
      <w:r>
        <w:rPr/>
        <w:t xml:space="preserve">Получить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m>
          <m:mr>
            <m:e>
              <m:r>
                <w:rPr>
                  <w:rFonts w:ascii="Cambria Math" w:hAnsi="Cambria Math"/>
                </w:rPr>
                <m:t xml:space="preserve">min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xϵ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e>
          </m:mr>
        </m:m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</m:oMath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m>
          <m:mr>
            <m:e>
              <m:r>
                <w:rPr>
                  <w:rFonts w:ascii="Cambria Math" w:hAnsi="Cambria Math"/>
                </w:rPr>
                <m:t xml:space="preserve">max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xϵ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e>
          </m:mr>
        </m:m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ListParagraph"/>
        <w:numPr>
          <w:ilvl w:val="1"/>
          <w:numId w:val="2"/>
        </w:numPr>
        <w:spacing w:lineRule="auto" w:line="360" w:before="0" w:after="200"/>
        <w:contextualSpacing/>
        <w:jc w:val="both"/>
        <w:rPr/>
      </w:pPr>
      <w:r>
        <w:rPr/>
        <w:t xml:space="preserve">По заданному </w:t>
      </w:r>
      <w:r>
        <w:rPr>
          <w:lang w:val="en-US"/>
        </w:rPr>
        <w:t>Eps</w:t>
      </w:r>
      <w:r>
        <w:rPr/>
        <w:t xml:space="preserve"> сосчитать условие окончания итерационного процесса </w:t>
      </w:r>
      <w:r>
        <w:rPr>
          <w:lang w:val="en-US"/>
        </w:rPr>
        <w:t>Eps</w:t>
      </w:r>
      <w:r>
        <w:rPr/>
        <w:t>2=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Eps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.</m:t>
            </m:r>
          </m:e>
        </m:rad>
      </m:oMath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Для метода простых итераций: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Сосчитать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</m:oMath>
      <w:r>
        <w:rPr/>
        <w:t xml:space="preserve"> найти на отрезке [Left, Right]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– минимальное значение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– максимальное значение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 </w:t>
      </w:r>
      <w:r>
        <w:rPr/>
        <w:t xml:space="preserve">Преобразовать уравнение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к виду, удобному для итераций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  <w:t xml:space="preserve">4) Написание программы, включающей метод нахождения функции, производной на </w:t>
      </w:r>
      <w:r>
        <w:rPr>
          <w:lang w:val="en-US"/>
        </w:rPr>
        <w:t>Java</w:t>
      </w:r>
      <w:r>
        <w:rPr/>
        <w:t xml:space="preserve">. </w:t>
      </w:r>
    </w:p>
    <w:p>
      <w:pPr>
        <w:pStyle w:val="Normal"/>
        <w:spacing w:lineRule="auto" w:line="360"/>
        <w:jc w:val="both"/>
        <w:rPr/>
      </w:pPr>
      <w:r>
        <w:rPr/>
        <w:t xml:space="preserve">5) Вычисление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eps</m:t>
            </m:r>
          </m:num>
          <m:den>
            <m:r>
              <w:rPr>
                <w:rFonts w:ascii="Cambria Math" w:hAnsi="Cambria Math"/>
              </w:rPr>
              <m:t xml:space="preserve">delta</m:t>
            </m:r>
          </m:den>
        </m:f>
      </m:oMath>
      <w:r>
        <w:rPr/>
        <w:t xml:space="preserve">, сравнение его 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∆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/>
        <w:t xml:space="preserve"> получение вывода об обусловленности задачи.</w:t>
      </w:r>
    </w:p>
    <w:p>
      <w:pPr>
        <w:pStyle w:val="Normal"/>
        <w:spacing w:lineRule="auto" w:line="360"/>
        <w:jc w:val="both"/>
        <w:rPr/>
      </w:pPr>
      <w:r>
        <w:rPr/>
        <w:t xml:space="preserve">6) Поменять условие окончания итераций на </w:t>
      </w:r>
      <w:r>
        <w:rPr>
          <w:lang w:val="en-US"/>
        </w:rPr>
        <w:t>N</w:t>
      </w:r>
      <w:r>
        <w:rPr/>
        <w:t xml:space="preserve"> (большое значение) и поймать интервал неопределенности по правилу Гарвика. </w:t>
      </w:r>
    </w:p>
    <w:p>
      <w:pPr>
        <w:pStyle w:val="Normal"/>
        <w:spacing w:lineRule="auto" w:line="360"/>
        <w:jc w:val="both"/>
        <w:rPr/>
      </w:pPr>
      <w:r>
        <w:rPr/>
        <w:t xml:space="preserve">7) Для каждого метода </w:t>
      </w:r>
      <w:r>
        <w:rPr>
          <w:lang w:val="en-US"/>
        </w:rPr>
        <w:t>eps</w:t>
      </w:r>
      <w:r>
        <w:rPr/>
        <w:t>, который является условием остановки итераций меняем в диапазоне от 0.00001 и 0.1 и заполняем таблицу</w:t>
      </w:r>
    </w:p>
    <w:tbl>
      <w:tblPr>
        <w:tblW w:w="75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864"/>
        <w:gridCol w:w="866"/>
        <w:gridCol w:w="837"/>
        <w:gridCol w:w="831"/>
        <w:gridCol w:w="922"/>
        <w:gridCol w:w="2316"/>
      </w:tblGrid>
      <w:tr>
        <w:trPr/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i/>
                <w:i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i/>
                <w:kern w:val="0"/>
                <w:szCs w:val="22"/>
                <w:lang w:val="en-US" w:eastAsia="en-US" w:bidi="ar-SA"/>
              </w:rPr>
              <w:t>eps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Calibri Light" w:hAnsi="Calibri Light" w:eastAsia="Times New Roman" w:cs="Times New Roman"/>
                <w:i/>
                <w:i/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Calibri Light" w:hAnsi="Calibri Light"/>
                <w:i/>
                <w:kern w:val="0"/>
                <w:szCs w:val="22"/>
                <w:lang w:val="en-US" w:eastAsia="en-US" w:bidi="ar-SA"/>
              </w:rPr>
              <w:t>delta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∆</m:t>
                    </m:r>
                  </m:sub>
                </m:sSub>
              </m:oMath>
            </m:oMathPara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ν</m:t>
                    </m:r>
                  </m:e>
                  <m:sub/>
                </m:sSub>
              </m:oMath>
            </m:oMathPara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Обусловленность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shd w:fill="FFFF00" w:val="clear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  <w:t>8)Сделать сравнительную таблицу, результаты Бисекции можно взять из предыдущей работы.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1612"/>
        <w:gridCol w:w="1701"/>
        <w:gridCol w:w="1635"/>
        <w:gridCol w:w="1761"/>
      </w:tblGrid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 xml:space="preserve">          </w:t>
            </w: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Метод</w:t>
            </w:r>
          </w:p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Характеристики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Бисекция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Ньютон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Простых итераций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Хорд</w:t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 xml:space="preserve">Многошаговый или одношаговый 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Скорость сходимости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Априорная погрешность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Апостериорная погрешность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Номер итерации при начале разболтки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contextualSpacing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Варианты: </w:t>
      </w:r>
      <w:r>
        <w:rPr/>
        <w:t>согласно номеру в списке, увеличены до 23.</w:t>
      </w:r>
    </w:p>
    <w:tbl>
      <w:tblPr>
        <w:tblW w:w="42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3576"/>
      </w:tblGrid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№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f(x)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ln(x+(x^2+5)^(1/2))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(sin(2x))^3cos(8x^5)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arcsin(x+8)/cos(x-4)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4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[(x-5)^(2)/(ln(x-9))^(3)]-40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5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ln(x^2-(x-5)^(1/2))-4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6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[ln(x^(2)+4)/(x+6)]-9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7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[ln(x-5)^(2)/ln(x)]+3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8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(sin(2x^3))^2cos(8x)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9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ln(x+(x^3+8)^(1/2))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10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(arcsin(x-8))^2/(cos(x-4))^3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11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(x-5)^(2)/(ln(x-9))^(2)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[log</w:t>
            </w:r>
            <w:r>
              <w:rPr>
                <w:rFonts w:eastAsia="Calibri"/>
                <w:kern w:val="0"/>
                <w:sz w:val="16"/>
                <w:szCs w:val="16"/>
                <w:lang w:val="en-US" w:eastAsia="en-US" w:bidi="ar-SA"/>
              </w:rPr>
              <w:t>5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(x^(2)+4)]-1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arcsin(x^(4)-8)/sin(x+4)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ln(x-5)^(2)/cos(x)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5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sin(2x^2)(cos(8x))^3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6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exp(sin(x-9))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1</w:t>
            </w: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7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arcsin(x^2-8)/(cos(x+4))^3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18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ln((x-5)^(2))/3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19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ln(x^2+(x^3+8)^(1/2))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20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arcsin(x^(4)-8)/sin(x+4)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21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sin(2x^3)(cos(7x))^3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22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arccos(x^2-3)-2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23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tg(x^2+3)(x-5)^3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24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eastAsia="Calibri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Cs w:val="22"/>
                <w:lang w:val="en-US" w:eastAsia="en-US" w:bidi="ar-SA"/>
              </w:rPr>
              <w:t>ctg(x^2-8)(x+3)+3</w:t>
            </w:r>
            <w:bookmarkStart w:id="1" w:name="_GoBack"/>
            <w:bookmarkEnd w:id="1"/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jc w:val="left"/>
    </w:pPr>
    <w:rPr>
      <w:rFonts w:ascii="Times New Roman" w:hAnsi="Times New Roman" w:eastAsia="Calibr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Style14">
    <w:name w:val="Абзац списка Знак"/>
    <w:basedOn w:val="DefaultParagraphFont"/>
    <w:link w:val="ListParagraph"/>
    <w:qFormat/>
    <w:rPr>
      <w:rFonts w:ascii="Times New Roman" w:hAnsi="Times New Roman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4"/>
    <w:qFormat/>
    <w:pPr>
      <w:spacing w:before="0" w:after="0"/>
      <w:ind w:left="720" w:right="0" w:hanging="0"/>
      <w:contextualSpacing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Application>LibreOffice/7.3.7.2$Linux_X86_64 LibreOffice_project/30$Build-2</Application>
  <AppVersion>15.0000</AppVersion>
  <Pages>7</Pages>
  <Words>822</Words>
  <Characters>5341</Characters>
  <CharactersWithSpaces>6272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2021-09-02T18:11:00Z</dcterms:created>
  <dc:creator>Учетная запись Майкрософт</dc:creator>
  <dc:description/>
  <dc:language>ru-RU</dc:language>
  <cp:lastModifiedBy/>
  <dcterms:modified xsi:type="dcterms:W3CDTF">2025-03-25T11:22:26Z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