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73B50DF">
      <w:pPr>
        <w:keepNext w:val="0"/>
        <w:keepLines w:val="0"/>
        <w:widowControl/>
        <w:suppressLineNumbers w:val="0"/>
        <w:pBdr>
          <w:top w:val="none" w:color="auto" w:sz="0" w:space="0"/>
          <w:left w:val="none" w:color="auto" w:sz="0" w:space="0"/>
          <w:bottom w:val="single" w:color="D8D8DC" w:sz="12" w:space="15"/>
          <w:right w:val="none" w:color="auto" w:sz="0" w:space="0"/>
        </w:pBdr>
        <w:spacing w:before="0" w:beforeAutospacing="0" w:after="420" w:afterAutospacing="0" w:line="18" w:lineRule="atLeast"/>
        <w:ind w:left="0" w:right="0" w:firstLine="0"/>
        <w:jc w:val="center"/>
        <w:rPr>
          <w:rFonts w:ascii="微软雅黑" w:hAnsi="微软雅黑" w:eastAsia="微软雅黑" w:cs="微软雅黑"/>
          <w:b/>
          <w:bCs/>
          <w:i w:val="0"/>
          <w:iCs w:val="0"/>
          <w:caps w:val="0"/>
          <w:color w:val="333333"/>
          <w:spacing w:val="0"/>
          <w:sz w:val="21"/>
          <w:szCs w:val="21"/>
        </w:rPr>
      </w:pPr>
      <w:r>
        <w:rPr>
          <w:rFonts w:hint="eastAsia" w:ascii="微软雅黑" w:hAnsi="微软雅黑" w:eastAsia="微软雅黑" w:cs="微软雅黑"/>
          <w:b/>
          <w:bCs/>
          <w:i w:val="0"/>
          <w:iCs w:val="0"/>
          <w:caps w:val="0"/>
          <w:color w:val="333333"/>
          <w:spacing w:val="0"/>
          <w:kern w:val="0"/>
          <w:sz w:val="21"/>
          <w:szCs w:val="21"/>
          <w:bdr w:val="none" w:color="auto" w:sz="0" w:space="0"/>
          <w:lang w:val="en-US" w:eastAsia="zh-CN" w:bidi="ar"/>
        </w:rPr>
        <w:t>ESG与气候风险管理政策</w:t>
      </w:r>
    </w:p>
    <w:p w14:paraId="1B7241FF">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60" w:lineRule="atLeast"/>
        <w:ind w:left="0" w:right="0" w:firstLine="0"/>
        <w:rPr>
          <w:rFonts w:hint="eastAsia" w:ascii="微软雅黑" w:hAnsi="微软雅黑" w:eastAsia="微软雅黑" w:cs="微软雅黑"/>
          <w:i w:val="0"/>
          <w:iCs w:val="0"/>
          <w:caps w:val="0"/>
          <w:color w:val="666666"/>
          <w:spacing w:val="0"/>
          <w:sz w:val="19"/>
          <w:szCs w:val="19"/>
        </w:rPr>
      </w:pPr>
      <w:r>
        <w:rPr>
          <w:rStyle w:val="5"/>
          <w:rFonts w:hint="eastAsia" w:ascii="微软雅黑" w:hAnsi="微软雅黑" w:eastAsia="微软雅黑" w:cs="微软雅黑"/>
          <w:i w:val="0"/>
          <w:iCs w:val="0"/>
          <w:caps w:val="0"/>
          <w:color w:val="666666"/>
          <w:spacing w:val="0"/>
          <w:sz w:val="19"/>
          <w:szCs w:val="19"/>
          <w:bdr w:val="none" w:color="auto" w:sz="0" w:space="0"/>
        </w:rPr>
        <w:t>ESG与气候风险管理政策</w:t>
      </w:r>
    </w:p>
    <w:p w14:paraId="2F2B4446">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60" w:lineRule="atLeast"/>
        <w:ind w:left="0" w:right="0" w:firstLine="0"/>
        <w:rPr>
          <w:rFonts w:hint="eastAsia" w:ascii="微软雅黑" w:hAnsi="微软雅黑" w:eastAsia="微软雅黑" w:cs="微软雅黑"/>
          <w:i w:val="0"/>
          <w:iCs w:val="0"/>
          <w:caps w:val="0"/>
          <w:color w:val="666666"/>
          <w:spacing w:val="0"/>
          <w:sz w:val="19"/>
          <w:szCs w:val="19"/>
        </w:rPr>
      </w:pPr>
      <w:r>
        <w:rPr>
          <w:rFonts w:hint="eastAsia" w:ascii="微软雅黑" w:hAnsi="微软雅黑" w:eastAsia="微软雅黑" w:cs="微软雅黑"/>
          <w:i w:val="0"/>
          <w:iCs w:val="0"/>
          <w:caps w:val="0"/>
          <w:color w:val="666666"/>
          <w:spacing w:val="0"/>
          <w:sz w:val="19"/>
          <w:szCs w:val="19"/>
          <w:bdr w:val="none" w:color="auto" w:sz="0" w:space="0"/>
        </w:rPr>
        <w:t>本行将ESG与气候风险管理纳入全面风险管理体系，修订《全面风险管理报告办法》，明确总行风险管理委员会的ESG与气候风险管理职责，将ESG与气候风险纳入向高级管理层与董事会报告的范围，并探索在风险偏好制定过程中将ESG与气候风险因素纳入考量。</w:t>
      </w:r>
    </w:p>
    <w:p w14:paraId="22938419">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60" w:lineRule="atLeast"/>
        <w:ind w:left="0" w:right="0" w:firstLine="0"/>
        <w:rPr>
          <w:rFonts w:hint="eastAsia" w:ascii="微软雅黑" w:hAnsi="微软雅黑" w:eastAsia="微软雅黑" w:cs="微软雅黑"/>
          <w:i w:val="0"/>
          <w:iCs w:val="0"/>
          <w:caps w:val="0"/>
          <w:color w:val="666666"/>
          <w:spacing w:val="0"/>
          <w:sz w:val="19"/>
          <w:szCs w:val="19"/>
        </w:rPr>
      </w:pPr>
      <w:r>
        <w:rPr>
          <w:rFonts w:hint="eastAsia" w:ascii="微软雅黑" w:hAnsi="微软雅黑" w:eastAsia="微软雅黑" w:cs="微软雅黑"/>
          <w:i w:val="0"/>
          <w:iCs w:val="0"/>
          <w:caps w:val="0"/>
          <w:color w:val="666666"/>
          <w:spacing w:val="0"/>
          <w:sz w:val="19"/>
          <w:szCs w:val="19"/>
          <w:bdr w:val="none" w:color="auto" w:sz="0" w:space="0"/>
        </w:rPr>
        <w:t>本行参考气候相关金融信息披露工作组 (TCFD)建议，密切关注气候风险的相关影响，主动做好气候变化的风险和机遇评估，并与现行风险管理架构整合、并定期分析和评估制定相应对策。</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651"/>
        <w:gridCol w:w="7775"/>
      </w:tblGrid>
      <w:tr w14:paraId="4346D99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64" w:hRule="atLeast"/>
        </w:trPr>
        <w:tc>
          <w:tcPr>
            <w:tcW w:w="0" w:type="auto"/>
            <w:tcBorders>
              <w:top w:val="single" w:color="0077CC" w:sz="4" w:space="0"/>
              <w:left w:val="single" w:color="0077CC" w:sz="4" w:space="0"/>
              <w:bottom w:val="single" w:color="0077CC" w:sz="4" w:space="0"/>
              <w:right w:val="single" w:color="0077CC" w:sz="4" w:space="0"/>
            </w:tcBorders>
            <w:shd w:val="clear"/>
            <w:tcMar>
              <w:top w:w="60" w:type="dxa"/>
              <w:left w:w="60" w:type="dxa"/>
              <w:bottom w:w="60" w:type="dxa"/>
              <w:right w:w="60" w:type="dxa"/>
            </w:tcMar>
            <w:vAlign w:val="center"/>
          </w:tcPr>
          <w:p w14:paraId="383F6FB5">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center"/>
              <w:rPr>
                <w:color w:val="666666"/>
                <w:sz w:val="16"/>
                <w:szCs w:val="16"/>
              </w:rPr>
            </w:pPr>
            <w:r>
              <w:rPr>
                <w:rStyle w:val="5"/>
                <w:rFonts w:hint="eastAsia" w:ascii="微软雅黑" w:hAnsi="微软雅黑" w:eastAsia="微软雅黑" w:cs="微软雅黑"/>
                <w:b/>
                <w:bCs/>
                <w:i w:val="0"/>
                <w:iCs w:val="0"/>
                <w:caps w:val="0"/>
                <w:color w:val="666666"/>
                <w:spacing w:val="0"/>
                <w:sz w:val="16"/>
                <w:szCs w:val="16"/>
                <w:bdr w:val="none" w:color="auto" w:sz="0" w:space="0"/>
              </w:rPr>
              <w:t>类别</w:t>
            </w:r>
          </w:p>
        </w:tc>
        <w:tc>
          <w:tcPr>
            <w:tcW w:w="0" w:type="auto"/>
            <w:tcBorders>
              <w:top w:val="single" w:color="0077CC" w:sz="4" w:space="0"/>
              <w:left w:val="single" w:color="0077CC" w:sz="4" w:space="0"/>
              <w:bottom w:val="single" w:color="0077CC" w:sz="4" w:space="0"/>
              <w:right w:val="single" w:color="0077CC" w:sz="4" w:space="0"/>
            </w:tcBorders>
            <w:shd w:val="clear"/>
            <w:tcMar>
              <w:top w:w="60" w:type="dxa"/>
              <w:left w:w="60" w:type="dxa"/>
              <w:bottom w:w="60" w:type="dxa"/>
              <w:right w:w="60" w:type="dxa"/>
            </w:tcMar>
            <w:vAlign w:val="center"/>
          </w:tcPr>
          <w:p w14:paraId="46648CAF">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center"/>
              <w:rPr>
                <w:color w:val="666666"/>
                <w:sz w:val="16"/>
                <w:szCs w:val="16"/>
              </w:rPr>
            </w:pPr>
            <w:r>
              <w:rPr>
                <w:rStyle w:val="5"/>
                <w:rFonts w:hint="eastAsia" w:ascii="微软雅黑" w:hAnsi="微软雅黑" w:eastAsia="微软雅黑" w:cs="微软雅黑"/>
                <w:b/>
                <w:bCs/>
                <w:i w:val="0"/>
                <w:iCs w:val="0"/>
                <w:caps w:val="0"/>
                <w:color w:val="666666"/>
                <w:spacing w:val="0"/>
                <w:sz w:val="16"/>
                <w:szCs w:val="16"/>
                <w:bdr w:val="none" w:color="auto" w:sz="0" w:space="0"/>
              </w:rPr>
              <w:t>潜在影响</w:t>
            </w:r>
          </w:p>
        </w:tc>
      </w:tr>
      <w:tr w14:paraId="7011CF0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64" w:hRule="atLeast"/>
        </w:trPr>
        <w:tc>
          <w:tcPr>
            <w:tcW w:w="0" w:type="auto"/>
            <w:tcBorders>
              <w:top w:val="single" w:color="0077CC" w:sz="4" w:space="0"/>
              <w:left w:val="single" w:color="0077CC" w:sz="4" w:space="0"/>
              <w:bottom w:val="single" w:color="0077CC" w:sz="4" w:space="0"/>
              <w:right w:val="single" w:color="0077CC" w:sz="4" w:space="0"/>
            </w:tcBorders>
            <w:shd w:val="clear"/>
            <w:tcMar>
              <w:top w:w="60" w:type="dxa"/>
              <w:left w:w="60" w:type="dxa"/>
              <w:bottom w:w="60" w:type="dxa"/>
              <w:right w:w="60" w:type="dxa"/>
            </w:tcMar>
            <w:vAlign w:val="center"/>
          </w:tcPr>
          <w:p w14:paraId="061CA1D4">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center"/>
              <w:rPr>
                <w:color w:val="666666"/>
                <w:sz w:val="16"/>
                <w:szCs w:val="16"/>
              </w:rPr>
            </w:pPr>
            <w:r>
              <w:rPr>
                <w:rStyle w:val="5"/>
                <w:rFonts w:hint="eastAsia" w:ascii="微软雅黑" w:hAnsi="微软雅黑" w:eastAsia="微软雅黑" w:cs="微软雅黑"/>
                <w:b/>
                <w:bCs/>
                <w:i w:val="0"/>
                <w:iCs w:val="0"/>
                <w:caps w:val="0"/>
                <w:color w:val="666666"/>
                <w:spacing w:val="0"/>
                <w:sz w:val="16"/>
                <w:szCs w:val="16"/>
                <w:bdr w:val="none" w:color="auto" w:sz="0" w:space="0"/>
              </w:rPr>
              <w:t>气候物理风险</w:t>
            </w:r>
          </w:p>
        </w:tc>
        <w:tc>
          <w:tcPr>
            <w:tcW w:w="0" w:type="auto"/>
            <w:tcBorders>
              <w:top w:val="single" w:color="0077CC" w:sz="4" w:space="0"/>
              <w:left w:val="single" w:color="0077CC" w:sz="4" w:space="0"/>
              <w:bottom w:val="single" w:color="0077CC" w:sz="4" w:space="0"/>
              <w:right w:val="single" w:color="0077CC" w:sz="4" w:space="0"/>
            </w:tcBorders>
            <w:shd w:val="clear"/>
            <w:tcMar>
              <w:top w:w="60" w:type="dxa"/>
              <w:left w:w="60" w:type="dxa"/>
              <w:bottom w:w="60" w:type="dxa"/>
              <w:right w:w="60" w:type="dxa"/>
            </w:tcMar>
            <w:vAlign w:val="center"/>
          </w:tcPr>
          <w:p w14:paraId="22483732">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color w:val="666666"/>
                <w:sz w:val="16"/>
                <w:szCs w:val="16"/>
              </w:rPr>
            </w:pPr>
            <w:r>
              <w:rPr>
                <w:rFonts w:hint="eastAsia" w:ascii="微软雅黑" w:hAnsi="微软雅黑" w:eastAsia="微软雅黑" w:cs="微软雅黑"/>
                <w:i w:val="0"/>
                <w:iCs w:val="0"/>
                <w:caps w:val="0"/>
                <w:color w:val="666666"/>
                <w:spacing w:val="0"/>
                <w:sz w:val="16"/>
                <w:szCs w:val="16"/>
                <w:bdr w:val="none" w:color="auto" w:sz="0" w:space="0"/>
              </w:rPr>
              <w:t>· 台风、干旱、暴风雨等极端天气事件等会损害客户持有的资产价值，使得抵质押品损毁或贬值，或影响供应链，从而影响客户的运营和盈利能力及生存能力，造成违约率上升。</w:t>
            </w:r>
          </w:p>
          <w:p w14:paraId="7AADBF4D">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color w:val="666666"/>
                <w:sz w:val="16"/>
                <w:szCs w:val="16"/>
              </w:rPr>
            </w:pPr>
            <w:r>
              <w:rPr>
                <w:rFonts w:hint="eastAsia" w:ascii="微软雅黑" w:hAnsi="微软雅黑" w:eastAsia="微软雅黑" w:cs="微软雅黑"/>
                <w:i w:val="0"/>
                <w:iCs w:val="0"/>
                <w:caps w:val="0"/>
                <w:color w:val="666666"/>
                <w:spacing w:val="0"/>
                <w:sz w:val="16"/>
                <w:szCs w:val="16"/>
                <w:bdr w:val="none" w:color="auto" w:sz="0" w:space="0"/>
              </w:rPr>
              <w:t>· 全球气温升高、海平面上升及气候条件改变将影响公司运营所在地，对实物资产造成广泛破坏，并因资产减损或提早淘汰、更换等增加成本。</w:t>
            </w:r>
          </w:p>
          <w:p w14:paraId="484F54C6">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color w:val="666666"/>
                <w:sz w:val="16"/>
                <w:szCs w:val="16"/>
              </w:rPr>
            </w:pPr>
            <w:r>
              <w:rPr>
                <w:rFonts w:hint="eastAsia" w:ascii="微软雅黑" w:hAnsi="微软雅黑" w:eastAsia="微软雅黑" w:cs="微软雅黑"/>
                <w:i w:val="0"/>
                <w:iCs w:val="0"/>
                <w:caps w:val="0"/>
                <w:color w:val="666666"/>
                <w:spacing w:val="0"/>
                <w:sz w:val="16"/>
                <w:szCs w:val="16"/>
                <w:bdr w:val="none" w:color="auto" w:sz="0" w:space="0"/>
              </w:rPr>
              <w:t>· 极端天气会对基础设施、系统、流程和员工产生负面影响，扰乱业务连续性。</w:t>
            </w:r>
          </w:p>
        </w:tc>
      </w:tr>
      <w:tr w14:paraId="0B61856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64" w:hRule="atLeast"/>
        </w:trPr>
        <w:tc>
          <w:tcPr>
            <w:tcW w:w="0" w:type="auto"/>
            <w:tcBorders>
              <w:top w:val="single" w:color="0077CC" w:sz="4" w:space="0"/>
              <w:left w:val="single" w:color="0077CC" w:sz="4" w:space="0"/>
              <w:bottom w:val="single" w:color="0077CC" w:sz="4" w:space="0"/>
              <w:right w:val="single" w:color="0077CC" w:sz="4" w:space="0"/>
            </w:tcBorders>
            <w:shd w:val="clear"/>
            <w:tcMar>
              <w:top w:w="60" w:type="dxa"/>
              <w:left w:w="60" w:type="dxa"/>
              <w:bottom w:w="60" w:type="dxa"/>
              <w:right w:w="60" w:type="dxa"/>
            </w:tcMar>
            <w:vAlign w:val="center"/>
          </w:tcPr>
          <w:p w14:paraId="582D63E8">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center"/>
              <w:rPr>
                <w:color w:val="666666"/>
                <w:sz w:val="16"/>
                <w:szCs w:val="16"/>
              </w:rPr>
            </w:pPr>
            <w:r>
              <w:rPr>
                <w:rStyle w:val="5"/>
                <w:rFonts w:hint="eastAsia" w:ascii="微软雅黑" w:hAnsi="微软雅黑" w:eastAsia="微软雅黑" w:cs="微软雅黑"/>
                <w:b/>
                <w:bCs/>
                <w:i w:val="0"/>
                <w:iCs w:val="0"/>
                <w:caps w:val="0"/>
                <w:color w:val="666666"/>
                <w:spacing w:val="0"/>
                <w:sz w:val="16"/>
                <w:szCs w:val="16"/>
                <w:bdr w:val="none" w:color="auto" w:sz="0" w:space="0"/>
              </w:rPr>
              <w:t>气候转型风险</w:t>
            </w:r>
          </w:p>
        </w:tc>
        <w:tc>
          <w:tcPr>
            <w:tcW w:w="0" w:type="auto"/>
            <w:tcBorders>
              <w:top w:val="single" w:color="0077CC" w:sz="4" w:space="0"/>
              <w:left w:val="single" w:color="0077CC" w:sz="4" w:space="0"/>
              <w:bottom w:val="single" w:color="0077CC" w:sz="4" w:space="0"/>
              <w:right w:val="single" w:color="0077CC" w:sz="4" w:space="0"/>
            </w:tcBorders>
            <w:shd w:val="clear"/>
            <w:tcMar>
              <w:top w:w="60" w:type="dxa"/>
              <w:left w:w="60" w:type="dxa"/>
              <w:bottom w:w="60" w:type="dxa"/>
              <w:right w:w="60" w:type="dxa"/>
            </w:tcMar>
            <w:vAlign w:val="center"/>
          </w:tcPr>
          <w:p w14:paraId="76B46AF7">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color w:val="666666"/>
                <w:sz w:val="16"/>
                <w:szCs w:val="16"/>
              </w:rPr>
            </w:pPr>
            <w:r>
              <w:rPr>
                <w:rFonts w:hint="eastAsia" w:ascii="微软雅黑" w:hAnsi="微软雅黑" w:eastAsia="微软雅黑" w:cs="微软雅黑"/>
                <w:i w:val="0"/>
                <w:iCs w:val="0"/>
                <w:caps w:val="0"/>
                <w:color w:val="666666"/>
                <w:spacing w:val="0"/>
                <w:sz w:val="16"/>
                <w:szCs w:val="16"/>
                <w:bdr w:val="none" w:color="auto" w:sz="0" w:space="0"/>
              </w:rPr>
              <w:t>· 政策和法律风险：限制不利影响或促进适应或转型的政策和监管措施的影响将会影响碳密集型行业的盈利能力，相关资产可能被搁浅。</w:t>
            </w:r>
          </w:p>
          <w:p w14:paraId="6972DBA4">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color w:val="666666"/>
                <w:sz w:val="16"/>
                <w:szCs w:val="16"/>
              </w:rPr>
            </w:pPr>
            <w:r>
              <w:rPr>
                <w:rFonts w:hint="eastAsia" w:ascii="微软雅黑" w:hAnsi="微软雅黑" w:eastAsia="微软雅黑" w:cs="微软雅黑"/>
                <w:i w:val="0"/>
                <w:iCs w:val="0"/>
                <w:caps w:val="0"/>
                <w:color w:val="666666"/>
                <w:spacing w:val="0"/>
                <w:sz w:val="16"/>
                <w:szCs w:val="16"/>
                <w:bdr w:val="none" w:color="auto" w:sz="0" w:space="0"/>
              </w:rPr>
              <w:t>· 技术革新：低碳相关技术和产品可能会取代现有的产品和服务，增加营收及投资的不确定性。</w:t>
            </w:r>
          </w:p>
          <w:p w14:paraId="7BD4839C">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color w:val="666666"/>
                <w:sz w:val="16"/>
                <w:szCs w:val="16"/>
              </w:rPr>
            </w:pPr>
            <w:r>
              <w:rPr>
                <w:rFonts w:hint="eastAsia" w:ascii="微软雅黑" w:hAnsi="微软雅黑" w:eastAsia="微软雅黑" w:cs="微软雅黑"/>
                <w:i w:val="0"/>
                <w:iCs w:val="0"/>
                <w:caps w:val="0"/>
                <w:color w:val="666666"/>
                <w:spacing w:val="0"/>
                <w:sz w:val="16"/>
                <w:szCs w:val="16"/>
                <w:bdr w:val="none" w:color="auto" w:sz="0" w:space="0"/>
              </w:rPr>
              <w:t>· 市场变化：气候变化可能引发投资者偏好的转变，碳密集型资产的预计收益下降，商业银行将面临估值下降和投资波动性增加的风险。</w:t>
            </w:r>
          </w:p>
          <w:p w14:paraId="1F1EC1F2">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color w:val="666666"/>
                <w:sz w:val="16"/>
                <w:szCs w:val="16"/>
              </w:rPr>
            </w:pPr>
            <w:r>
              <w:rPr>
                <w:rFonts w:hint="eastAsia" w:ascii="微软雅黑" w:hAnsi="微软雅黑" w:eastAsia="微软雅黑" w:cs="微软雅黑"/>
                <w:i w:val="0"/>
                <w:iCs w:val="0"/>
                <w:caps w:val="0"/>
                <w:color w:val="666666"/>
                <w:spacing w:val="0"/>
                <w:sz w:val="16"/>
                <w:szCs w:val="16"/>
                <w:bdr w:val="none" w:color="auto" w:sz="0" w:space="0"/>
              </w:rPr>
              <w:t>· 声誉影响：若持续为高污染、高耗能相关企业提供融资或大量持有此类资产，将面临声誉风险上升。</w:t>
            </w:r>
          </w:p>
        </w:tc>
      </w:tr>
      <w:tr w14:paraId="240E89F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264" w:hRule="atLeast"/>
        </w:trPr>
        <w:tc>
          <w:tcPr>
            <w:tcW w:w="0" w:type="auto"/>
            <w:tcBorders>
              <w:top w:val="single" w:color="0077CC" w:sz="4" w:space="0"/>
              <w:left w:val="single" w:color="0077CC" w:sz="4" w:space="0"/>
              <w:bottom w:val="single" w:color="0077CC" w:sz="4" w:space="0"/>
              <w:right w:val="single" w:color="0077CC" w:sz="4" w:space="0"/>
            </w:tcBorders>
            <w:shd w:val="clear"/>
            <w:tcMar>
              <w:top w:w="60" w:type="dxa"/>
              <w:left w:w="60" w:type="dxa"/>
              <w:bottom w:w="60" w:type="dxa"/>
              <w:right w:w="60" w:type="dxa"/>
            </w:tcMar>
            <w:vAlign w:val="center"/>
          </w:tcPr>
          <w:p w14:paraId="114B8DD1">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center"/>
              <w:rPr>
                <w:color w:val="666666"/>
                <w:sz w:val="16"/>
                <w:szCs w:val="16"/>
              </w:rPr>
            </w:pPr>
            <w:r>
              <w:rPr>
                <w:rStyle w:val="5"/>
                <w:rFonts w:hint="eastAsia" w:ascii="微软雅黑" w:hAnsi="微软雅黑" w:eastAsia="微软雅黑" w:cs="微软雅黑"/>
                <w:b/>
                <w:bCs/>
                <w:i w:val="0"/>
                <w:iCs w:val="0"/>
                <w:caps w:val="0"/>
                <w:color w:val="666666"/>
                <w:spacing w:val="0"/>
                <w:sz w:val="16"/>
                <w:szCs w:val="16"/>
                <w:bdr w:val="none" w:color="auto" w:sz="0" w:space="0"/>
              </w:rPr>
              <w:t>气候相关机遇</w:t>
            </w:r>
          </w:p>
        </w:tc>
        <w:tc>
          <w:tcPr>
            <w:tcW w:w="0" w:type="auto"/>
            <w:tcBorders>
              <w:top w:val="single" w:color="0077CC" w:sz="4" w:space="0"/>
              <w:left w:val="single" w:color="0077CC" w:sz="4" w:space="0"/>
              <w:bottom w:val="single" w:color="0077CC" w:sz="4" w:space="0"/>
              <w:right w:val="single" w:color="0077CC" w:sz="4" w:space="0"/>
            </w:tcBorders>
            <w:shd w:val="clear"/>
            <w:tcMar>
              <w:top w:w="60" w:type="dxa"/>
              <w:left w:w="60" w:type="dxa"/>
              <w:bottom w:w="60" w:type="dxa"/>
              <w:right w:w="60" w:type="dxa"/>
            </w:tcMar>
            <w:vAlign w:val="center"/>
          </w:tcPr>
          <w:p w14:paraId="354F0841">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color w:val="666666"/>
                <w:sz w:val="16"/>
                <w:szCs w:val="16"/>
              </w:rPr>
            </w:pPr>
            <w:r>
              <w:rPr>
                <w:rFonts w:hint="eastAsia" w:ascii="微软雅黑" w:hAnsi="微软雅黑" w:eastAsia="微软雅黑" w:cs="微软雅黑"/>
                <w:i w:val="0"/>
                <w:iCs w:val="0"/>
                <w:caps w:val="0"/>
                <w:color w:val="666666"/>
                <w:spacing w:val="0"/>
                <w:sz w:val="16"/>
                <w:szCs w:val="16"/>
                <w:bdr w:val="none" w:color="auto" w:sz="0" w:space="0"/>
              </w:rPr>
              <w:t>· 产品和服务机会：高碳行业转型、低碳产业发展均面临较大的资金缺口，将产生对转型金融的相关需求；若能拓展创新绿色金融、转型金融相关产品及服务，协助客户进行绿色转型，有助于通过相关产品服务促进业务收入增加。</w:t>
            </w:r>
          </w:p>
          <w:p w14:paraId="32DB71C9">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color w:val="666666"/>
                <w:sz w:val="16"/>
                <w:szCs w:val="16"/>
              </w:rPr>
            </w:pPr>
            <w:r>
              <w:rPr>
                <w:rFonts w:hint="eastAsia" w:ascii="微软雅黑" w:hAnsi="微软雅黑" w:eastAsia="微软雅黑" w:cs="微软雅黑"/>
                <w:i w:val="0"/>
                <w:iCs w:val="0"/>
                <w:caps w:val="0"/>
                <w:color w:val="666666"/>
                <w:spacing w:val="0"/>
                <w:sz w:val="16"/>
                <w:szCs w:val="16"/>
                <w:bdr w:val="none" w:color="auto" w:sz="0" w:space="0"/>
              </w:rPr>
              <w:t>· 市场机会：通过创新和丰富绿色金融产品拓展新兴市场机会、并在市场上占据先机；存款人和投资者环保意识的提高可能会增加对绿色金融业务的支持，有助于绿色/ESG相关主题产品的发行。</w:t>
            </w:r>
          </w:p>
          <w:p w14:paraId="6C9F70B9">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color w:val="666666"/>
                <w:sz w:val="16"/>
                <w:szCs w:val="16"/>
              </w:rPr>
            </w:pPr>
            <w:r>
              <w:rPr>
                <w:rFonts w:hint="eastAsia" w:ascii="微软雅黑" w:hAnsi="微软雅黑" w:eastAsia="微软雅黑" w:cs="微软雅黑"/>
                <w:i w:val="0"/>
                <w:iCs w:val="0"/>
                <w:caps w:val="0"/>
                <w:color w:val="666666"/>
                <w:spacing w:val="0"/>
                <w:sz w:val="16"/>
                <w:szCs w:val="16"/>
                <w:bdr w:val="none" w:color="auto" w:sz="0" w:space="0"/>
              </w:rPr>
              <w:t>· 资源使用效率：若能提升能源使用效率、减少用水量，并实施业务数字化转型，有助于公司降低相应的资源使用成本。</w:t>
            </w:r>
          </w:p>
          <w:p w14:paraId="2D05BD95">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color w:val="666666"/>
                <w:sz w:val="16"/>
                <w:szCs w:val="16"/>
              </w:rPr>
            </w:pPr>
            <w:r>
              <w:rPr>
                <w:rFonts w:hint="eastAsia" w:ascii="微软雅黑" w:hAnsi="微软雅黑" w:eastAsia="微软雅黑" w:cs="微软雅黑"/>
                <w:i w:val="0"/>
                <w:iCs w:val="0"/>
                <w:caps w:val="0"/>
                <w:color w:val="666666"/>
                <w:spacing w:val="0"/>
                <w:sz w:val="16"/>
                <w:szCs w:val="16"/>
                <w:bdr w:val="none" w:color="auto" w:sz="0" w:space="0"/>
              </w:rPr>
              <w:t>· 能源来源：若能充分利用可再生能源，有助于降低对化石燃料的依赖，减少自身温室气体排放。</w:t>
            </w:r>
          </w:p>
          <w:p w14:paraId="0CFBB7ED">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color w:val="666666"/>
                <w:sz w:val="16"/>
                <w:szCs w:val="16"/>
              </w:rPr>
            </w:pPr>
            <w:r>
              <w:rPr>
                <w:rFonts w:hint="eastAsia" w:ascii="微软雅黑" w:hAnsi="微软雅黑" w:eastAsia="微软雅黑" w:cs="微软雅黑"/>
                <w:i w:val="0"/>
                <w:iCs w:val="0"/>
                <w:caps w:val="0"/>
                <w:color w:val="666666"/>
                <w:spacing w:val="0"/>
                <w:sz w:val="16"/>
                <w:szCs w:val="16"/>
                <w:bdr w:val="none" w:color="auto" w:sz="0" w:space="0"/>
              </w:rPr>
              <w:t>· 气候韧性：提升气候变化的应对能力，有助于公司以更有效率管理风险、把握机会，并赢得利益相关方的认可。</w:t>
            </w:r>
          </w:p>
        </w:tc>
      </w:tr>
    </w:tbl>
    <w:p w14:paraId="45B7F472">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60" w:lineRule="atLeast"/>
        <w:ind w:left="0" w:right="0" w:firstLine="0"/>
        <w:rPr>
          <w:rFonts w:hint="eastAsia" w:ascii="微软雅黑" w:hAnsi="微软雅黑" w:eastAsia="微软雅黑" w:cs="微软雅黑"/>
          <w:i w:val="0"/>
          <w:iCs w:val="0"/>
          <w:caps w:val="0"/>
          <w:color w:val="666666"/>
          <w:spacing w:val="0"/>
          <w:sz w:val="19"/>
          <w:szCs w:val="19"/>
        </w:rPr>
      </w:pPr>
      <w:r>
        <w:rPr>
          <w:rFonts w:hint="eastAsia" w:ascii="微软雅黑" w:hAnsi="微软雅黑" w:eastAsia="微软雅黑" w:cs="微软雅黑"/>
          <w:i w:val="0"/>
          <w:iCs w:val="0"/>
          <w:caps w:val="0"/>
          <w:color w:val="666666"/>
          <w:spacing w:val="0"/>
          <w:sz w:val="19"/>
          <w:szCs w:val="19"/>
          <w:bdr w:val="none" w:color="auto" w:sz="0" w:space="0"/>
        </w:rPr>
        <w:t>本行自2021年起定期开展气候风险压力测试，评估在实现“双碳”目标下应对转型风险的能力，并主动披露气候风险压力测试情况，同时开展物理风险压力测试研究探索。2024年，本行进一步将测试行业覆盖范围由电力、钢铁、建材、石化、化工、造纸、航空、有色金属冶炼等八大高碳行业，拓展至上述八大高碳行业和上游煤炭行业。同时，通过丰富压力情景，考虑碳排放价格、能源消耗量等因素对高碳相关行业客户还款能力的冲击，进而分析对信贷资产质量和资本充足水平的影响。测试设置轻度、中度、重度三种压力情景，以2023年末为基期，测试期限至2030年。从测试结果看，若上述高碳相关行业客户不进行低碳转型，在压力情景下还款能力会出现不同程度的下降，但整体风险可控。在重度压力情景下，至2030年末本行资本充足率下降约0.44个百分点，资本充足指标在各种压力情景下均满足监管要求。</w:t>
      </w:r>
    </w:p>
    <w:p w14:paraId="6FBBCD9F">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60" w:lineRule="atLeast"/>
        <w:ind w:left="0" w:right="0" w:firstLine="0"/>
        <w:rPr>
          <w:rFonts w:hint="eastAsia" w:ascii="微软雅黑" w:hAnsi="微软雅黑" w:eastAsia="微软雅黑" w:cs="微软雅黑"/>
          <w:i w:val="0"/>
          <w:iCs w:val="0"/>
          <w:caps w:val="0"/>
          <w:color w:val="666666"/>
          <w:spacing w:val="0"/>
          <w:sz w:val="19"/>
          <w:szCs w:val="19"/>
        </w:rPr>
      </w:pPr>
      <w:r>
        <w:rPr>
          <w:rStyle w:val="5"/>
          <w:rFonts w:hint="eastAsia" w:ascii="微软雅黑" w:hAnsi="微软雅黑" w:eastAsia="微软雅黑" w:cs="微软雅黑"/>
          <w:i w:val="0"/>
          <w:iCs w:val="0"/>
          <w:caps w:val="0"/>
          <w:color w:val="666666"/>
          <w:spacing w:val="0"/>
          <w:sz w:val="19"/>
          <w:szCs w:val="19"/>
          <w:bdr w:val="none" w:color="auto" w:sz="0" w:space="0"/>
        </w:rPr>
        <w:t>制定ESG相关授信政策</w:t>
      </w:r>
    </w:p>
    <w:p w14:paraId="7719A3CB">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60" w:lineRule="atLeast"/>
        <w:ind w:left="0" w:right="0" w:firstLine="0"/>
        <w:rPr>
          <w:rFonts w:hint="eastAsia" w:ascii="微软雅黑" w:hAnsi="微软雅黑" w:eastAsia="微软雅黑" w:cs="微软雅黑"/>
          <w:i w:val="0"/>
          <w:iCs w:val="0"/>
          <w:caps w:val="0"/>
          <w:color w:val="666666"/>
          <w:spacing w:val="0"/>
          <w:sz w:val="19"/>
          <w:szCs w:val="19"/>
        </w:rPr>
      </w:pPr>
      <w:r>
        <w:rPr>
          <w:rFonts w:hint="eastAsia" w:ascii="微软雅黑" w:hAnsi="微软雅黑" w:eastAsia="微软雅黑" w:cs="微软雅黑"/>
          <w:i w:val="0"/>
          <w:iCs w:val="0"/>
          <w:caps w:val="0"/>
          <w:color w:val="666666"/>
          <w:spacing w:val="0"/>
          <w:sz w:val="19"/>
          <w:szCs w:val="19"/>
          <w:bdr w:val="none" w:color="auto" w:sz="0" w:space="0"/>
        </w:rPr>
        <w:t>本行聚焦重点行业及重点区域，执行“有保、有控、有压”的差异化ESG授信及风控总体策略，并结合监管政策与行业特征，制定了农业、林业、火电、水电、核电、光伏发电、化工、煤化工、煤炭、采矿、造船、纺织、污水处理等23个行业专项ESG授信政策，对客户的生产工艺流程、ESG风险管理能力及绿色低碳运营能力进行评估，积极引导信贷资源投向符合ESG相关要求、低能耗、低排放、低污染、高效率、市场前景良好的业务领域，进一步提升风险政策的精细化水平，更好服务业务发展。</w:t>
      </w:r>
    </w:p>
    <w:p w14:paraId="54D8F47E">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60" w:lineRule="atLeast"/>
        <w:ind w:left="0" w:right="0" w:firstLine="0"/>
        <w:rPr>
          <w:rFonts w:hint="eastAsia" w:ascii="微软雅黑" w:hAnsi="微软雅黑" w:eastAsia="微软雅黑" w:cs="微软雅黑"/>
          <w:i w:val="0"/>
          <w:iCs w:val="0"/>
          <w:caps w:val="0"/>
          <w:color w:val="666666"/>
          <w:spacing w:val="0"/>
          <w:sz w:val="19"/>
          <w:szCs w:val="19"/>
        </w:rPr>
      </w:pPr>
      <w:r>
        <w:rPr>
          <w:rFonts w:hint="eastAsia" w:ascii="微软雅黑" w:hAnsi="微软雅黑" w:eastAsia="微软雅黑" w:cs="微软雅黑"/>
          <w:i w:val="0"/>
          <w:iCs w:val="0"/>
          <w:caps w:val="0"/>
          <w:color w:val="666666"/>
          <w:spacing w:val="0"/>
          <w:sz w:val="19"/>
          <w:szCs w:val="19"/>
          <w:bdr w:val="none" w:color="auto" w:sz="0" w:space="0"/>
        </w:rPr>
        <w:t>ESG授信政策在内容上，一方面重点关注辖内客户相关烟气脱硫、工业废水处理以及污水处理、垃圾处理等减排设施的运行情况，及时防范因减排设施运行不正常、排污超标而引发的环境风险；对于存在多次环保违规或无法稳定达标的企业，现有融资逐步压退；高度重视重金属污染问题引发的环境风险，从严控制涉铅、镉、汞、铬和类金属砷企业的信贷准入与融资发放。</w:t>
      </w:r>
    </w:p>
    <w:p w14:paraId="2416314F">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60" w:lineRule="atLeast"/>
        <w:ind w:left="0" w:right="0" w:firstLine="0"/>
        <w:rPr>
          <w:rFonts w:hint="eastAsia" w:ascii="微软雅黑" w:hAnsi="微软雅黑" w:eastAsia="微软雅黑" w:cs="微软雅黑"/>
          <w:i w:val="0"/>
          <w:iCs w:val="0"/>
          <w:caps w:val="0"/>
          <w:color w:val="666666"/>
          <w:spacing w:val="0"/>
          <w:sz w:val="19"/>
          <w:szCs w:val="19"/>
        </w:rPr>
      </w:pPr>
      <w:r>
        <w:rPr>
          <w:rFonts w:hint="eastAsia" w:ascii="微软雅黑" w:hAnsi="微软雅黑" w:eastAsia="微软雅黑" w:cs="微软雅黑"/>
          <w:i w:val="0"/>
          <w:iCs w:val="0"/>
          <w:caps w:val="0"/>
          <w:color w:val="0077CC"/>
          <w:spacing w:val="0"/>
          <w:sz w:val="19"/>
          <w:szCs w:val="19"/>
          <w:u w:val="none"/>
          <w:bdr w:val="none" w:color="auto" w:sz="0" w:space="0"/>
          <w:vertAlign w:val="baseline"/>
        </w:rPr>
        <w:fldChar w:fldCharType="begin"/>
      </w:r>
      <w:r>
        <w:rPr>
          <w:rFonts w:hint="eastAsia" w:ascii="微软雅黑" w:hAnsi="微软雅黑" w:eastAsia="微软雅黑" w:cs="微软雅黑"/>
          <w:i w:val="0"/>
          <w:iCs w:val="0"/>
          <w:caps w:val="0"/>
          <w:color w:val="0077CC"/>
          <w:spacing w:val="0"/>
          <w:sz w:val="19"/>
          <w:szCs w:val="19"/>
          <w:u w:val="none"/>
          <w:bdr w:val="none" w:color="auto" w:sz="0" w:space="0"/>
          <w:vertAlign w:val="baseline"/>
        </w:rPr>
        <w:instrText xml:space="preserve"> HYPERLINK "https://download.cib.com.cn/netbank/download/cn/ESG/enviroment_policy2.pdf" </w:instrText>
      </w:r>
      <w:r>
        <w:rPr>
          <w:rFonts w:hint="eastAsia" w:ascii="微软雅黑" w:hAnsi="微软雅黑" w:eastAsia="微软雅黑" w:cs="微软雅黑"/>
          <w:i w:val="0"/>
          <w:iCs w:val="0"/>
          <w:caps w:val="0"/>
          <w:color w:val="0077CC"/>
          <w:spacing w:val="0"/>
          <w:sz w:val="19"/>
          <w:szCs w:val="19"/>
          <w:u w:val="none"/>
          <w:bdr w:val="none" w:color="auto" w:sz="0" w:space="0"/>
          <w:vertAlign w:val="baseline"/>
        </w:rPr>
        <w:fldChar w:fldCharType="separate"/>
      </w:r>
      <w:r>
        <w:rPr>
          <w:rStyle w:val="6"/>
          <w:rFonts w:hint="eastAsia" w:ascii="微软雅黑" w:hAnsi="微软雅黑" w:eastAsia="微软雅黑" w:cs="微软雅黑"/>
          <w:i w:val="0"/>
          <w:iCs w:val="0"/>
          <w:caps w:val="0"/>
          <w:color w:val="0077CC"/>
          <w:spacing w:val="0"/>
          <w:sz w:val="19"/>
          <w:szCs w:val="19"/>
          <w:u w:val="none"/>
          <w:bdr w:val="none" w:color="auto" w:sz="0" w:space="0"/>
          <w:vertAlign w:val="baseline"/>
        </w:rPr>
        <w:t>ESG相关授信政策</w:t>
      </w:r>
      <w:r>
        <w:rPr>
          <w:rFonts w:hint="eastAsia" w:ascii="微软雅黑" w:hAnsi="微软雅黑" w:eastAsia="微软雅黑" w:cs="微软雅黑"/>
          <w:i w:val="0"/>
          <w:iCs w:val="0"/>
          <w:caps w:val="0"/>
          <w:color w:val="0077CC"/>
          <w:spacing w:val="0"/>
          <w:sz w:val="19"/>
          <w:szCs w:val="19"/>
          <w:u w:val="none"/>
          <w:bdr w:val="none" w:color="auto" w:sz="0" w:space="0"/>
          <w:vertAlign w:val="baseline"/>
        </w:rPr>
        <w:fldChar w:fldCharType="end"/>
      </w:r>
    </w:p>
    <w:p w14:paraId="305C23B2">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60" w:lineRule="atLeast"/>
        <w:ind w:left="0" w:right="0" w:firstLine="0"/>
        <w:rPr>
          <w:rFonts w:hint="eastAsia" w:ascii="微软雅黑" w:hAnsi="微软雅黑" w:eastAsia="微软雅黑" w:cs="微软雅黑"/>
          <w:i w:val="0"/>
          <w:iCs w:val="0"/>
          <w:caps w:val="0"/>
          <w:color w:val="666666"/>
          <w:spacing w:val="0"/>
          <w:sz w:val="19"/>
          <w:szCs w:val="19"/>
        </w:rPr>
      </w:pPr>
      <w:r>
        <w:rPr>
          <w:rStyle w:val="5"/>
          <w:rFonts w:hint="eastAsia" w:ascii="微软雅黑" w:hAnsi="微软雅黑" w:eastAsia="微软雅黑" w:cs="微软雅黑"/>
          <w:b/>
          <w:bCs/>
          <w:i w:val="0"/>
          <w:iCs w:val="0"/>
          <w:caps w:val="0"/>
          <w:color w:val="666666"/>
          <w:spacing w:val="0"/>
          <w:sz w:val="19"/>
          <w:szCs w:val="19"/>
          <w:bdr w:val="none" w:color="auto" w:sz="0" w:space="0"/>
        </w:rPr>
        <w:t>进一步优化化石能源行业评审策略</w:t>
      </w:r>
    </w:p>
    <w:p w14:paraId="0EBB24ED">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60" w:lineRule="atLeast"/>
        <w:ind w:left="0" w:right="0" w:firstLine="0"/>
        <w:rPr>
          <w:rFonts w:hint="eastAsia" w:ascii="微软雅黑" w:hAnsi="微软雅黑" w:eastAsia="微软雅黑" w:cs="微软雅黑"/>
          <w:i w:val="0"/>
          <w:iCs w:val="0"/>
          <w:caps w:val="0"/>
          <w:color w:val="666666"/>
          <w:spacing w:val="0"/>
          <w:sz w:val="19"/>
          <w:szCs w:val="19"/>
        </w:rPr>
      </w:pPr>
      <w:r>
        <w:rPr>
          <w:rFonts w:hint="eastAsia" w:ascii="微软雅黑" w:hAnsi="微软雅黑" w:eastAsia="微软雅黑" w:cs="微软雅黑"/>
          <w:i w:val="0"/>
          <w:iCs w:val="0"/>
          <w:caps w:val="0"/>
          <w:color w:val="666666"/>
          <w:spacing w:val="0"/>
          <w:sz w:val="19"/>
          <w:szCs w:val="19"/>
          <w:bdr w:val="none" w:color="auto" w:sz="0" w:space="0"/>
        </w:rPr>
        <w:t>2024年，本行制定第七版《关于调整优化高碳行业管控要求的通知》，对于煤炭、煤电、煤化工、石化等九大管控行业，持续完善管控策略，稳步推进“压降高风险，推绿色转型”，保障高碳资产结构优化及质量稳定，从严控制高碳高风险行业新增授信。</w:t>
      </w:r>
    </w:p>
    <w:p w14:paraId="330C761C">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60" w:lineRule="atLeast"/>
        <w:ind w:left="0" w:right="0" w:firstLine="0"/>
        <w:rPr>
          <w:rFonts w:hint="eastAsia" w:ascii="微软雅黑" w:hAnsi="微软雅黑" w:eastAsia="微软雅黑" w:cs="微软雅黑"/>
          <w:i w:val="0"/>
          <w:iCs w:val="0"/>
          <w:caps w:val="0"/>
          <w:color w:val="666666"/>
          <w:spacing w:val="0"/>
          <w:sz w:val="19"/>
          <w:szCs w:val="19"/>
        </w:rPr>
      </w:pPr>
      <w:r>
        <w:rPr>
          <w:rStyle w:val="5"/>
          <w:rFonts w:hint="eastAsia" w:ascii="微软雅黑" w:hAnsi="微软雅黑" w:eastAsia="微软雅黑" w:cs="微软雅黑"/>
          <w:b/>
          <w:bCs/>
          <w:i w:val="0"/>
          <w:iCs w:val="0"/>
          <w:caps w:val="0"/>
          <w:color w:val="666666"/>
          <w:spacing w:val="0"/>
          <w:sz w:val="19"/>
          <w:szCs w:val="19"/>
          <w:bdr w:val="none" w:color="auto" w:sz="0" w:space="0"/>
        </w:rPr>
        <w:t>生物多样性政策</w:t>
      </w:r>
    </w:p>
    <w:p w14:paraId="6350AF1E">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60" w:lineRule="atLeast"/>
        <w:ind w:left="0" w:right="0" w:firstLine="0"/>
        <w:rPr>
          <w:rFonts w:hint="eastAsia" w:ascii="微软雅黑" w:hAnsi="微软雅黑" w:eastAsia="微软雅黑" w:cs="微软雅黑"/>
          <w:i w:val="0"/>
          <w:iCs w:val="0"/>
          <w:caps w:val="0"/>
          <w:color w:val="666666"/>
          <w:spacing w:val="0"/>
          <w:sz w:val="19"/>
          <w:szCs w:val="19"/>
        </w:rPr>
      </w:pPr>
      <w:r>
        <w:rPr>
          <w:rFonts w:hint="eastAsia" w:ascii="微软雅黑" w:hAnsi="微软雅黑" w:eastAsia="微软雅黑" w:cs="微软雅黑"/>
          <w:i w:val="0"/>
          <w:iCs w:val="0"/>
          <w:caps w:val="0"/>
          <w:color w:val="666666"/>
          <w:spacing w:val="0"/>
          <w:sz w:val="19"/>
          <w:szCs w:val="19"/>
          <w:bdr w:val="none" w:color="auto" w:sz="0" w:space="0"/>
        </w:rPr>
        <w:t>自2021年以来，本行先后签署《银行业金融机构支持生物多样性保护共同宣示》《生物多样性金融伙伴关系全球共同倡议》，为生态平衡和全球可持续发展注入金融力量。2022年11月，本行参加了生物多样性金融伙伴关系（PBF）“2022全球年会”，作为PBF执行委员会委员单位之一，参与审定了《生物多样性金融伙伴关系（PBF）工作指引》和2023年工作计划。同时，本行积极开展生物多样性相关的课题研究和产品创新，“湿地碳汇贷”在年内作为典型中国案例代表入选《生物多样性金融伙伴关系蓝皮书》，并于蒙特利尔《生物多样性公约》第十五次缔约方大会(COP15)第二阶段会议期间发布。</w:t>
      </w:r>
    </w:p>
    <w:p w14:paraId="5EB8ED9B">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60" w:lineRule="atLeast"/>
        <w:ind w:left="0" w:right="0" w:firstLine="0"/>
        <w:rPr>
          <w:rFonts w:hint="eastAsia" w:ascii="微软雅黑" w:hAnsi="微软雅黑" w:eastAsia="微软雅黑" w:cs="微软雅黑"/>
          <w:i w:val="0"/>
          <w:iCs w:val="0"/>
          <w:caps w:val="0"/>
          <w:color w:val="666666"/>
          <w:spacing w:val="0"/>
          <w:sz w:val="19"/>
          <w:szCs w:val="19"/>
        </w:rPr>
      </w:pPr>
      <w:r>
        <w:rPr>
          <w:rFonts w:hint="eastAsia" w:ascii="微软雅黑" w:hAnsi="微软雅黑" w:eastAsia="微软雅黑" w:cs="微软雅黑"/>
          <w:i w:val="0"/>
          <w:iCs w:val="0"/>
          <w:caps w:val="0"/>
          <w:color w:val="666666"/>
          <w:spacing w:val="0"/>
          <w:sz w:val="19"/>
          <w:szCs w:val="19"/>
          <w:bdr w:val="none" w:color="auto" w:sz="0" w:space="0"/>
        </w:rPr>
        <w:t>本行明确将生物多样性保护纳入整体授信政策，引导全行加大生态保护重点领域和重点区域支持力度，积极支持生物多样性保护重大工程，支持动植物资源保护、河湖与湿地保护修复、矿山生态环境恢复、国家生态安全屏障保护修复、重点生态区域综合治理等生态保护和修复项目。同时，在信贷业务中持续强化生态保护意识，严格遵守生态保护红线、环境质量底线、资源利用上线和生态环境准入清单等要求，并密切关注项目建设对生态环境及生物多样性等方面的影响，持续推动本行资产组合低碳转型及生物多样性保护，缓释环境敏感风险敞口。</w:t>
      </w:r>
    </w:p>
    <w:p w14:paraId="123B3CAE">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60" w:lineRule="atLeast"/>
        <w:ind w:left="0" w:right="0" w:firstLine="0"/>
        <w:rPr>
          <w:rFonts w:hint="eastAsia" w:ascii="微软雅黑" w:hAnsi="微软雅黑" w:eastAsia="微软雅黑" w:cs="微软雅黑"/>
          <w:i w:val="0"/>
          <w:iCs w:val="0"/>
          <w:caps w:val="0"/>
          <w:color w:val="666666"/>
          <w:spacing w:val="0"/>
          <w:sz w:val="19"/>
          <w:szCs w:val="19"/>
        </w:rPr>
      </w:pPr>
      <w:r>
        <w:rPr>
          <w:rStyle w:val="5"/>
          <w:rFonts w:hint="eastAsia" w:ascii="微软雅黑" w:hAnsi="微软雅黑" w:eastAsia="微软雅黑" w:cs="微软雅黑"/>
          <w:i w:val="0"/>
          <w:iCs w:val="0"/>
          <w:caps w:val="0"/>
          <w:color w:val="666666"/>
          <w:spacing w:val="0"/>
          <w:sz w:val="19"/>
          <w:szCs w:val="19"/>
          <w:bdr w:val="none" w:color="auto" w:sz="0" w:space="0"/>
        </w:rPr>
        <w:t>ESG嵌入投融资授信业务风险管理全流程</w:t>
      </w:r>
    </w:p>
    <w:p w14:paraId="4E313993">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60" w:lineRule="atLeast"/>
        <w:ind w:left="0" w:right="0" w:firstLine="0"/>
        <w:rPr>
          <w:rFonts w:hint="eastAsia" w:ascii="微软雅黑" w:hAnsi="微软雅黑" w:eastAsia="微软雅黑" w:cs="微软雅黑"/>
          <w:i w:val="0"/>
          <w:iCs w:val="0"/>
          <w:caps w:val="0"/>
          <w:color w:val="666666"/>
          <w:spacing w:val="0"/>
          <w:sz w:val="19"/>
          <w:szCs w:val="19"/>
        </w:rPr>
      </w:pPr>
      <w:r>
        <w:rPr>
          <w:rFonts w:hint="eastAsia" w:ascii="微软雅黑" w:hAnsi="微软雅黑" w:eastAsia="微软雅黑" w:cs="微软雅黑"/>
          <w:i w:val="0"/>
          <w:iCs w:val="0"/>
          <w:caps w:val="0"/>
          <w:color w:val="666666"/>
          <w:spacing w:val="0"/>
          <w:sz w:val="19"/>
          <w:szCs w:val="19"/>
          <w:bdr w:val="none" w:color="auto" w:sz="0" w:space="0"/>
        </w:rPr>
        <w:t>本行将ESG相关风险评估体系全面运用到企业金融、零售金融、同业金融三大业务条线的风险管理流程中，根据相关风险评估标准将客户分为A、B、C、D四类，针对本行投融资授信业务，采取差别化的管理策略，并融入尽职调查、风险评审、合同签订、融资发放、存续期管理等各环节。</w:t>
      </w:r>
    </w:p>
    <w:p w14:paraId="03F2649B">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60" w:lineRule="atLeast"/>
        <w:ind w:left="0" w:right="0" w:firstLine="0"/>
        <w:rPr>
          <w:rFonts w:hint="eastAsia" w:ascii="微软雅黑" w:hAnsi="微软雅黑" w:eastAsia="微软雅黑" w:cs="微软雅黑"/>
          <w:i w:val="0"/>
          <w:iCs w:val="0"/>
          <w:caps w:val="0"/>
          <w:color w:val="666666"/>
          <w:spacing w:val="0"/>
          <w:sz w:val="19"/>
          <w:szCs w:val="19"/>
        </w:rPr>
      </w:pPr>
      <w:r>
        <w:rPr>
          <w:rFonts w:hint="eastAsia" w:ascii="微软雅黑" w:hAnsi="微软雅黑" w:eastAsia="微软雅黑" w:cs="微软雅黑"/>
          <w:i w:val="0"/>
          <w:iCs w:val="0"/>
          <w:caps w:val="0"/>
          <w:color w:val="666666"/>
          <w:spacing w:val="0"/>
          <w:sz w:val="19"/>
          <w:szCs w:val="19"/>
          <w:bdr w:val="none" w:color="auto" w:sz="0" w:space="0"/>
        </w:rPr>
        <w:t>依据《兴业银行2023年授信政策》《兴业银行客户统一授信管理办法》《兴业银行关于建立客户ESG指标体系的通知》《兴业银行企业金融客户ESG内嵌授信流程方案》《兴业银行关于将ESG内嵌小微企业授信流程的通知》《兴业银行零售信贷客户ESG内嵌授信流程方案》《兴业银行关于印发同业客户ESG指标体系的通知》《同业金融客户ESG内嵌授信流程方案》等制度，本行在尽职调查环节，根据客户所在行业、区域特点，按照ESG相关内容开展针对性的尽职调查，强化对客户ESG表现相关的基础信息及数据的收集与验证，覆盖能源消耗、水资源利用、温室气体排放、企业环境信用评价、环保行政处罚、供应商管理、客户投诉、员工社保数据、偿债能力、信息披露、负面新闻等39类指标，确保信息的真实、完整及有效性。制定专项风险防控措施和应对预案，包括但不限于：限时整改违法违规事件、签订专项承诺书、调整授信方案、提高资本金比例、增加风险缓释措施、暂停新增授信、压缩存量业务等。在授信审查审批环节, 实施差别化授信控制。</w:t>
      </w:r>
    </w:p>
    <w:tbl>
      <w:tblPr>
        <w:tblW w:w="0" w:type="auto"/>
        <w:tblInd w:w="0" w:type="dxa"/>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Layout w:type="autofit"/>
        <w:tblCellMar>
          <w:top w:w="0" w:type="dxa"/>
          <w:left w:w="0" w:type="dxa"/>
          <w:bottom w:w="0" w:type="dxa"/>
          <w:right w:w="0" w:type="dxa"/>
        </w:tblCellMar>
      </w:tblPr>
      <w:tblGrid>
        <w:gridCol w:w="688"/>
        <w:gridCol w:w="7738"/>
      </w:tblGrid>
      <w:tr w14:paraId="6F80C700">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PrEx>
        <w:trPr>
          <w:trHeight w:val="264" w:hRule="atLeast"/>
        </w:trPr>
        <w:tc>
          <w:tcPr>
            <w:tcW w:w="0" w:type="auto"/>
            <w:tcBorders>
              <w:top w:val="single" w:color="0077CC" w:sz="4" w:space="0"/>
              <w:left w:val="single" w:color="0077CC" w:sz="4" w:space="0"/>
              <w:bottom w:val="single" w:color="0077CC" w:sz="4" w:space="0"/>
              <w:right w:val="single" w:color="0077CC" w:sz="4" w:space="0"/>
            </w:tcBorders>
            <w:shd w:val="clear"/>
            <w:tcMar>
              <w:top w:w="60" w:type="dxa"/>
              <w:left w:w="60" w:type="dxa"/>
              <w:bottom w:w="60" w:type="dxa"/>
              <w:right w:w="60" w:type="dxa"/>
            </w:tcMar>
            <w:vAlign w:val="center"/>
          </w:tcPr>
          <w:p w14:paraId="3B596861">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i w:val="0"/>
                <w:iCs w:val="0"/>
                <w:caps w:val="0"/>
                <w:color w:val="666666"/>
                <w:spacing w:val="0"/>
                <w:sz w:val="16"/>
                <w:szCs w:val="16"/>
              </w:rPr>
            </w:pPr>
            <w:r>
              <w:rPr>
                <w:rStyle w:val="5"/>
                <w:rFonts w:hint="eastAsia" w:ascii="微软雅黑" w:hAnsi="微软雅黑" w:eastAsia="微软雅黑" w:cs="微软雅黑"/>
                <w:i w:val="0"/>
                <w:iCs w:val="0"/>
                <w:caps w:val="0"/>
                <w:color w:val="666666"/>
                <w:spacing w:val="0"/>
                <w:kern w:val="0"/>
                <w:sz w:val="16"/>
                <w:szCs w:val="16"/>
                <w:bdr w:val="none" w:color="auto" w:sz="0" w:space="0"/>
                <w:lang w:val="en-US" w:eastAsia="zh-CN" w:bidi="ar"/>
              </w:rPr>
              <w:t>A类客户</w:t>
            </w:r>
          </w:p>
        </w:tc>
        <w:tc>
          <w:tcPr>
            <w:tcW w:w="0" w:type="auto"/>
            <w:tcBorders>
              <w:top w:val="single" w:color="0077CC" w:sz="4" w:space="0"/>
              <w:left w:val="single" w:color="0077CC" w:sz="4" w:space="0"/>
              <w:bottom w:val="single" w:color="0077CC" w:sz="4" w:space="0"/>
              <w:right w:val="single" w:color="0077CC" w:sz="4" w:space="0"/>
            </w:tcBorders>
            <w:shd w:val="clear"/>
            <w:tcMar>
              <w:top w:w="60" w:type="dxa"/>
              <w:left w:w="60" w:type="dxa"/>
              <w:bottom w:w="60" w:type="dxa"/>
              <w:right w:w="60" w:type="dxa"/>
            </w:tcMar>
            <w:vAlign w:val="center"/>
          </w:tcPr>
          <w:p w14:paraId="041FE1ED">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i w:val="0"/>
                <w:iCs w:val="0"/>
                <w:caps w:val="0"/>
                <w:color w:val="666666"/>
                <w:spacing w:val="0"/>
                <w:sz w:val="16"/>
                <w:szCs w:val="16"/>
              </w:rPr>
            </w:pPr>
            <w:r>
              <w:rPr>
                <w:rFonts w:hint="eastAsia" w:ascii="微软雅黑" w:hAnsi="微软雅黑" w:eastAsia="微软雅黑" w:cs="微软雅黑"/>
                <w:i w:val="0"/>
                <w:iCs w:val="0"/>
                <w:caps w:val="0"/>
                <w:color w:val="666666"/>
                <w:spacing w:val="0"/>
                <w:kern w:val="0"/>
                <w:sz w:val="16"/>
                <w:szCs w:val="16"/>
                <w:bdr w:val="none" w:color="auto" w:sz="0" w:space="0"/>
                <w:lang w:val="en-US" w:eastAsia="zh-CN" w:bidi="ar"/>
              </w:rPr>
              <w:t>在时间或流程上优先审查审批用于支持绿色、低碳、循环经济的授信申请。</w:t>
            </w:r>
          </w:p>
        </w:tc>
      </w:tr>
      <w:tr w14:paraId="7BB57598">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264" w:hRule="atLeast"/>
        </w:trPr>
        <w:tc>
          <w:tcPr>
            <w:tcW w:w="0" w:type="auto"/>
            <w:tcBorders>
              <w:top w:val="single" w:color="0077CC" w:sz="4" w:space="0"/>
              <w:left w:val="single" w:color="0077CC" w:sz="4" w:space="0"/>
              <w:bottom w:val="single" w:color="0077CC" w:sz="4" w:space="0"/>
              <w:right w:val="single" w:color="0077CC" w:sz="4" w:space="0"/>
            </w:tcBorders>
            <w:shd w:val="clear"/>
            <w:tcMar>
              <w:top w:w="60" w:type="dxa"/>
              <w:left w:w="60" w:type="dxa"/>
              <w:bottom w:w="60" w:type="dxa"/>
              <w:right w:w="60" w:type="dxa"/>
            </w:tcMar>
            <w:vAlign w:val="center"/>
          </w:tcPr>
          <w:p w14:paraId="69FE6F01">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i w:val="0"/>
                <w:iCs w:val="0"/>
                <w:caps w:val="0"/>
                <w:color w:val="666666"/>
                <w:spacing w:val="0"/>
                <w:sz w:val="16"/>
                <w:szCs w:val="16"/>
              </w:rPr>
            </w:pPr>
            <w:r>
              <w:rPr>
                <w:rStyle w:val="5"/>
                <w:rFonts w:hint="eastAsia" w:ascii="微软雅黑" w:hAnsi="微软雅黑" w:eastAsia="微软雅黑" w:cs="微软雅黑"/>
                <w:i w:val="0"/>
                <w:iCs w:val="0"/>
                <w:caps w:val="0"/>
                <w:color w:val="666666"/>
                <w:spacing w:val="0"/>
                <w:kern w:val="0"/>
                <w:sz w:val="16"/>
                <w:szCs w:val="16"/>
                <w:bdr w:val="none" w:color="auto" w:sz="0" w:space="0"/>
                <w:lang w:val="en-US" w:eastAsia="zh-CN" w:bidi="ar"/>
              </w:rPr>
              <w:t>B类客户</w:t>
            </w:r>
          </w:p>
        </w:tc>
        <w:tc>
          <w:tcPr>
            <w:tcW w:w="0" w:type="auto"/>
            <w:tcBorders>
              <w:top w:val="single" w:color="0077CC" w:sz="4" w:space="0"/>
              <w:left w:val="single" w:color="0077CC" w:sz="4" w:space="0"/>
              <w:bottom w:val="single" w:color="0077CC" w:sz="4" w:space="0"/>
              <w:right w:val="single" w:color="0077CC" w:sz="4" w:space="0"/>
            </w:tcBorders>
            <w:shd w:val="clear"/>
            <w:tcMar>
              <w:top w:w="60" w:type="dxa"/>
              <w:left w:w="60" w:type="dxa"/>
              <w:bottom w:w="60" w:type="dxa"/>
              <w:right w:w="60" w:type="dxa"/>
            </w:tcMar>
            <w:vAlign w:val="center"/>
          </w:tcPr>
          <w:p w14:paraId="283D4666">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i w:val="0"/>
                <w:iCs w:val="0"/>
                <w:caps w:val="0"/>
                <w:color w:val="666666"/>
                <w:spacing w:val="0"/>
                <w:sz w:val="16"/>
                <w:szCs w:val="16"/>
              </w:rPr>
            </w:pPr>
            <w:r>
              <w:rPr>
                <w:rFonts w:hint="eastAsia" w:ascii="微软雅黑" w:hAnsi="微软雅黑" w:eastAsia="微软雅黑" w:cs="微软雅黑"/>
                <w:i w:val="0"/>
                <w:iCs w:val="0"/>
                <w:caps w:val="0"/>
                <w:color w:val="666666"/>
                <w:spacing w:val="0"/>
                <w:kern w:val="0"/>
                <w:sz w:val="16"/>
                <w:szCs w:val="16"/>
                <w:bdr w:val="none" w:color="auto" w:sz="0" w:space="0"/>
                <w:lang w:val="en-US" w:eastAsia="zh-CN" w:bidi="ar"/>
              </w:rPr>
              <w:t>重点关注、分析评价ESG潜在风险事项、应对措施及影响。</w:t>
            </w:r>
          </w:p>
        </w:tc>
      </w:tr>
      <w:tr w14:paraId="7397317C">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264" w:hRule="atLeast"/>
        </w:trPr>
        <w:tc>
          <w:tcPr>
            <w:tcW w:w="0" w:type="auto"/>
            <w:tcBorders>
              <w:top w:val="single" w:color="0077CC" w:sz="4" w:space="0"/>
              <w:left w:val="single" w:color="0077CC" w:sz="4" w:space="0"/>
              <w:bottom w:val="single" w:color="0077CC" w:sz="4" w:space="0"/>
              <w:right w:val="single" w:color="0077CC" w:sz="4" w:space="0"/>
            </w:tcBorders>
            <w:shd w:val="clear"/>
            <w:tcMar>
              <w:top w:w="60" w:type="dxa"/>
              <w:left w:w="60" w:type="dxa"/>
              <w:bottom w:w="60" w:type="dxa"/>
              <w:right w:w="60" w:type="dxa"/>
            </w:tcMar>
            <w:vAlign w:val="center"/>
          </w:tcPr>
          <w:p w14:paraId="266C3AC2">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i w:val="0"/>
                <w:iCs w:val="0"/>
                <w:caps w:val="0"/>
                <w:color w:val="666666"/>
                <w:spacing w:val="0"/>
                <w:sz w:val="16"/>
                <w:szCs w:val="16"/>
              </w:rPr>
            </w:pPr>
            <w:r>
              <w:rPr>
                <w:rStyle w:val="5"/>
                <w:rFonts w:hint="eastAsia" w:ascii="微软雅黑" w:hAnsi="微软雅黑" w:eastAsia="微软雅黑" w:cs="微软雅黑"/>
                <w:i w:val="0"/>
                <w:iCs w:val="0"/>
                <w:caps w:val="0"/>
                <w:color w:val="666666"/>
                <w:spacing w:val="0"/>
                <w:kern w:val="0"/>
                <w:sz w:val="16"/>
                <w:szCs w:val="16"/>
                <w:bdr w:val="none" w:color="auto" w:sz="0" w:space="0"/>
                <w:lang w:val="en-US" w:eastAsia="zh-CN" w:bidi="ar"/>
              </w:rPr>
              <w:t>C类客户</w:t>
            </w:r>
          </w:p>
        </w:tc>
        <w:tc>
          <w:tcPr>
            <w:tcW w:w="0" w:type="auto"/>
            <w:tcBorders>
              <w:top w:val="single" w:color="0077CC" w:sz="4" w:space="0"/>
              <w:left w:val="single" w:color="0077CC" w:sz="4" w:space="0"/>
              <w:bottom w:val="single" w:color="0077CC" w:sz="4" w:space="0"/>
              <w:right w:val="single" w:color="0077CC" w:sz="4" w:space="0"/>
            </w:tcBorders>
            <w:shd w:val="clear"/>
            <w:tcMar>
              <w:top w:w="60" w:type="dxa"/>
              <w:left w:w="60" w:type="dxa"/>
              <w:bottom w:w="60" w:type="dxa"/>
              <w:right w:w="60" w:type="dxa"/>
            </w:tcMar>
            <w:vAlign w:val="center"/>
          </w:tcPr>
          <w:p w14:paraId="56A33453">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i w:val="0"/>
                <w:iCs w:val="0"/>
                <w:caps w:val="0"/>
                <w:color w:val="666666"/>
                <w:spacing w:val="0"/>
                <w:sz w:val="16"/>
                <w:szCs w:val="16"/>
              </w:rPr>
            </w:pPr>
            <w:r>
              <w:rPr>
                <w:rFonts w:hint="eastAsia" w:ascii="微软雅黑" w:hAnsi="微软雅黑" w:eastAsia="微软雅黑" w:cs="微软雅黑"/>
                <w:i w:val="0"/>
                <w:iCs w:val="0"/>
                <w:caps w:val="0"/>
                <w:color w:val="666666"/>
                <w:spacing w:val="0"/>
                <w:kern w:val="0"/>
                <w:sz w:val="16"/>
                <w:szCs w:val="16"/>
                <w:bdr w:val="none" w:color="auto" w:sz="0" w:space="0"/>
                <w:lang w:val="en-US" w:eastAsia="zh-CN" w:bidi="ar"/>
              </w:rPr>
              <w:t>重点关注、审慎评估ESG潜在风险事项、应对措施及影响，并积极寻求适当方式缓释授信风险，包括前述各类风险缓释措施等。</w:t>
            </w:r>
          </w:p>
        </w:tc>
      </w:tr>
      <w:tr w14:paraId="61272BE8">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trHeight w:val="264" w:hRule="atLeast"/>
        </w:trPr>
        <w:tc>
          <w:tcPr>
            <w:tcW w:w="0" w:type="auto"/>
            <w:tcBorders>
              <w:top w:val="single" w:color="0077CC" w:sz="4" w:space="0"/>
              <w:left w:val="single" w:color="0077CC" w:sz="4" w:space="0"/>
              <w:bottom w:val="single" w:color="0077CC" w:sz="4" w:space="0"/>
              <w:right w:val="single" w:color="0077CC" w:sz="4" w:space="0"/>
            </w:tcBorders>
            <w:shd w:val="clear"/>
            <w:tcMar>
              <w:top w:w="60" w:type="dxa"/>
              <w:left w:w="60" w:type="dxa"/>
              <w:bottom w:w="60" w:type="dxa"/>
              <w:right w:w="60" w:type="dxa"/>
            </w:tcMar>
            <w:vAlign w:val="center"/>
          </w:tcPr>
          <w:p w14:paraId="6ADAC2C6">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i w:val="0"/>
                <w:iCs w:val="0"/>
                <w:caps w:val="0"/>
                <w:color w:val="666666"/>
                <w:spacing w:val="0"/>
                <w:sz w:val="16"/>
                <w:szCs w:val="16"/>
              </w:rPr>
            </w:pPr>
            <w:r>
              <w:rPr>
                <w:rStyle w:val="5"/>
                <w:rFonts w:hint="eastAsia" w:ascii="微软雅黑" w:hAnsi="微软雅黑" w:eastAsia="微软雅黑" w:cs="微软雅黑"/>
                <w:i w:val="0"/>
                <w:iCs w:val="0"/>
                <w:caps w:val="0"/>
                <w:color w:val="666666"/>
                <w:spacing w:val="0"/>
                <w:kern w:val="0"/>
                <w:sz w:val="16"/>
                <w:szCs w:val="16"/>
                <w:bdr w:val="none" w:color="auto" w:sz="0" w:space="0"/>
                <w:lang w:val="en-US" w:eastAsia="zh-CN" w:bidi="ar"/>
              </w:rPr>
              <w:t>D类客户</w:t>
            </w:r>
          </w:p>
        </w:tc>
        <w:tc>
          <w:tcPr>
            <w:tcW w:w="0" w:type="auto"/>
            <w:tcBorders>
              <w:top w:val="single" w:color="0077CC" w:sz="4" w:space="0"/>
              <w:left w:val="single" w:color="0077CC" w:sz="4" w:space="0"/>
              <w:bottom w:val="single" w:color="0077CC" w:sz="4" w:space="0"/>
              <w:right w:val="single" w:color="0077CC" w:sz="4" w:space="0"/>
            </w:tcBorders>
            <w:shd w:val="clear"/>
            <w:tcMar>
              <w:top w:w="60" w:type="dxa"/>
              <w:left w:w="60" w:type="dxa"/>
              <w:bottom w:w="60" w:type="dxa"/>
              <w:right w:w="60" w:type="dxa"/>
            </w:tcMar>
            <w:vAlign w:val="center"/>
          </w:tcPr>
          <w:p w14:paraId="7CC9688B">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i w:val="0"/>
                <w:iCs w:val="0"/>
                <w:caps w:val="0"/>
                <w:color w:val="666666"/>
                <w:spacing w:val="0"/>
                <w:sz w:val="16"/>
                <w:szCs w:val="16"/>
              </w:rPr>
            </w:pPr>
            <w:r>
              <w:rPr>
                <w:rFonts w:hint="eastAsia" w:ascii="微软雅黑" w:hAnsi="微软雅黑" w:eastAsia="微软雅黑" w:cs="微软雅黑"/>
                <w:i w:val="0"/>
                <w:iCs w:val="0"/>
                <w:caps w:val="0"/>
                <w:color w:val="666666"/>
                <w:spacing w:val="0"/>
                <w:kern w:val="0"/>
                <w:sz w:val="16"/>
                <w:szCs w:val="16"/>
                <w:bdr w:val="none" w:color="auto" w:sz="0" w:space="0"/>
                <w:lang w:val="en-US" w:eastAsia="zh-CN" w:bidi="ar"/>
              </w:rPr>
              <w:t>原则上新客户禁止介入，存量客户及时压缩退出。在放款审核环节，需审核ESG相关审批要求落实情况与法律文书签订情况。</w:t>
            </w:r>
          </w:p>
        </w:tc>
      </w:tr>
    </w:tbl>
    <w:p w14:paraId="4416D6B5">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60" w:lineRule="atLeast"/>
        <w:ind w:left="0" w:right="0" w:firstLine="0"/>
        <w:rPr>
          <w:rFonts w:hint="eastAsia" w:ascii="微软雅黑" w:hAnsi="微软雅黑" w:eastAsia="微软雅黑" w:cs="微软雅黑"/>
          <w:i w:val="0"/>
          <w:iCs w:val="0"/>
          <w:caps w:val="0"/>
          <w:color w:val="666666"/>
          <w:spacing w:val="0"/>
          <w:sz w:val="19"/>
          <w:szCs w:val="19"/>
        </w:rPr>
      </w:pPr>
      <w:r>
        <w:rPr>
          <w:rFonts w:hint="eastAsia" w:ascii="微软雅黑" w:hAnsi="微软雅黑" w:eastAsia="微软雅黑" w:cs="微软雅黑"/>
          <w:i w:val="0"/>
          <w:iCs w:val="0"/>
          <w:caps w:val="0"/>
          <w:color w:val="666666"/>
          <w:spacing w:val="0"/>
          <w:sz w:val="19"/>
          <w:szCs w:val="19"/>
          <w:bdr w:val="none" w:color="auto" w:sz="0" w:space="0"/>
        </w:rPr>
        <w:t>本行根据ESG分类认定结果，结合审批意见通知书要求，落实C、D类客户控制措施，核实审批通知书中有关环境、社会和治理风险管控要求的落实情况等。在存续期管理环节, 除常规的存续期风险管理外，还持续开展客户ESG相关风险监测及跟踪管理工作。</w:t>
      </w:r>
    </w:p>
    <w:p w14:paraId="69C80620">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60" w:lineRule="atLeast"/>
        <w:ind w:left="0" w:right="0" w:firstLine="0"/>
        <w:rPr>
          <w:rFonts w:hint="eastAsia" w:ascii="微软雅黑" w:hAnsi="微软雅黑" w:eastAsia="微软雅黑" w:cs="微软雅黑"/>
          <w:i w:val="0"/>
          <w:iCs w:val="0"/>
          <w:caps w:val="0"/>
          <w:color w:val="666666"/>
          <w:spacing w:val="0"/>
          <w:sz w:val="19"/>
          <w:szCs w:val="19"/>
        </w:rPr>
      </w:pPr>
      <w:r>
        <w:rPr>
          <w:rFonts w:hint="eastAsia" w:ascii="微软雅黑" w:hAnsi="微软雅黑" w:eastAsia="微软雅黑" w:cs="微软雅黑"/>
          <w:i w:val="0"/>
          <w:iCs w:val="0"/>
          <w:caps w:val="0"/>
          <w:color w:val="666666"/>
          <w:spacing w:val="0"/>
          <w:sz w:val="19"/>
          <w:szCs w:val="19"/>
          <w:bdr w:val="none" w:color="auto" w:sz="0" w:space="0"/>
        </w:rPr>
        <w:t>同时，对于C、D类客户均定期开展ESG评估，跟踪审批通知书中相关管理要求落实情况，跟进客户ESG事项变化进展，并在存续期管理报告中反映。对于发生违法违规行为而未积极整改的，将采取预警、增加风险缓释手续、额度控制等相应的风险管控措施。</w:t>
      </w:r>
    </w:p>
    <w:p w14:paraId="4877CA96">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60" w:lineRule="atLeast"/>
        <w:ind w:left="0" w:right="0" w:firstLine="0"/>
        <w:rPr>
          <w:rFonts w:hint="eastAsia" w:ascii="微软雅黑" w:hAnsi="微软雅黑" w:eastAsia="微软雅黑" w:cs="微软雅黑"/>
          <w:i w:val="0"/>
          <w:iCs w:val="0"/>
          <w:caps w:val="0"/>
          <w:color w:val="666666"/>
          <w:spacing w:val="0"/>
          <w:sz w:val="19"/>
          <w:szCs w:val="19"/>
        </w:rPr>
      </w:pPr>
      <w:r>
        <w:rPr>
          <w:rStyle w:val="5"/>
          <w:rFonts w:hint="eastAsia" w:ascii="微软雅黑" w:hAnsi="微软雅黑" w:eastAsia="微软雅黑" w:cs="微软雅黑"/>
          <w:b/>
          <w:bCs/>
          <w:i w:val="0"/>
          <w:iCs w:val="0"/>
          <w:caps w:val="0"/>
          <w:color w:val="666666"/>
          <w:spacing w:val="0"/>
          <w:sz w:val="19"/>
          <w:szCs w:val="19"/>
          <w:bdr w:val="none" w:color="auto" w:sz="0" w:space="0"/>
        </w:rPr>
        <w:t>探索将授信对象的ESG表现纳入评级考量范围</w:t>
      </w:r>
    </w:p>
    <w:p w14:paraId="5E4E0B21">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60" w:lineRule="atLeast"/>
        <w:ind w:left="0" w:right="0" w:firstLine="0"/>
        <w:rPr>
          <w:rFonts w:hint="eastAsia" w:ascii="微软雅黑" w:hAnsi="微软雅黑" w:eastAsia="微软雅黑" w:cs="微软雅黑"/>
          <w:i w:val="0"/>
          <w:iCs w:val="0"/>
          <w:caps w:val="0"/>
          <w:color w:val="666666"/>
          <w:spacing w:val="0"/>
          <w:sz w:val="19"/>
          <w:szCs w:val="19"/>
        </w:rPr>
      </w:pPr>
      <w:r>
        <w:rPr>
          <w:rFonts w:hint="eastAsia" w:ascii="微软雅黑" w:hAnsi="微软雅黑" w:eastAsia="微软雅黑" w:cs="微软雅黑"/>
          <w:i w:val="0"/>
          <w:iCs w:val="0"/>
          <w:caps w:val="0"/>
          <w:color w:val="666666"/>
          <w:spacing w:val="0"/>
          <w:sz w:val="19"/>
          <w:szCs w:val="19"/>
          <w:bdr w:val="none" w:color="auto" w:sz="0" w:space="0"/>
        </w:rPr>
        <w:t>本行内部评级模型指标设计综合评价客户各方面经营、风险状况，同时考虑ESG相关因素，例如：评级定性评价公司管理与运营状况中的“质量控制体系”指标，考虑企业经营的环境效益，包括是否取得“中国环境标志”认证等；“内部控制管理”指标，评估企业的内部控制情况，包括企业治理架构是否完善、是否建立健全的财务制度等，体现对企业经营管理ESG表现的考量。</w:t>
      </w:r>
    </w:p>
    <w:p w14:paraId="61093C95">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60" w:lineRule="atLeast"/>
        <w:ind w:left="0" w:right="0" w:firstLine="0"/>
        <w:rPr>
          <w:rFonts w:hint="eastAsia" w:ascii="微软雅黑" w:hAnsi="微软雅黑" w:eastAsia="微软雅黑" w:cs="微软雅黑"/>
          <w:i w:val="0"/>
          <w:iCs w:val="0"/>
          <w:caps w:val="0"/>
          <w:color w:val="666666"/>
          <w:spacing w:val="0"/>
          <w:sz w:val="19"/>
          <w:szCs w:val="19"/>
        </w:rPr>
      </w:pPr>
      <w:r>
        <w:rPr>
          <w:rStyle w:val="5"/>
          <w:rFonts w:hint="eastAsia" w:ascii="微软雅黑" w:hAnsi="微软雅黑" w:eastAsia="微软雅黑" w:cs="微软雅黑"/>
          <w:i w:val="0"/>
          <w:iCs w:val="0"/>
          <w:caps w:val="0"/>
          <w:color w:val="666666"/>
          <w:spacing w:val="0"/>
          <w:sz w:val="19"/>
          <w:szCs w:val="19"/>
          <w:bdr w:val="none" w:color="auto" w:sz="0" w:space="0"/>
        </w:rPr>
        <w:t>气候风险管理</w:t>
      </w:r>
    </w:p>
    <w:p w14:paraId="5334EA61">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60" w:lineRule="atLeast"/>
        <w:ind w:left="0" w:right="0" w:firstLine="0"/>
        <w:rPr>
          <w:rFonts w:hint="eastAsia" w:ascii="微软雅黑" w:hAnsi="微软雅黑" w:eastAsia="微软雅黑" w:cs="微软雅黑"/>
          <w:i w:val="0"/>
          <w:iCs w:val="0"/>
          <w:caps w:val="0"/>
          <w:color w:val="666666"/>
          <w:spacing w:val="0"/>
          <w:sz w:val="19"/>
          <w:szCs w:val="19"/>
        </w:rPr>
      </w:pPr>
      <w:r>
        <w:rPr>
          <w:rFonts w:hint="eastAsia" w:ascii="微软雅黑" w:hAnsi="微软雅黑" w:eastAsia="微软雅黑" w:cs="微软雅黑"/>
          <w:i w:val="0"/>
          <w:iCs w:val="0"/>
          <w:caps w:val="0"/>
          <w:color w:val="666666"/>
          <w:spacing w:val="0"/>
          <w:sz w:val="19"/>
          <w:szCs w:val="19"/>
          <w:bdr w:val="none" w:color="auto" w:sz="0" w:space="0"/>
        </w:rPr>
        <w:t>本行于2024年在授信政策中纳入气候风险管理的相关要求，规定做好气候风险管理，认真贯彻落实本行绿色信贷政策要求，不断提升贷款气候风险管理能力与水平，进一步聚焦重点行业及重点区域，积极引导信贷资源投向低能耗、低排放、低污染、高效率、市场前景良好的业务领域。同时，本行加强与企业、政府主管部门的沟通协调，密切关注所在地区能源消费总量和能耗强度“双控”目标执行情况，持续跟踪“两高”项目生态环境源头防控和重点行业碳排放环境影响评价试点情况，分析碳交易价格对客户资产、负债、损益等方面的影响，及时评估客户气候风险，提前布局，稳妥有序调整信贷结构。</w:t>
      </w:r>
    </w:p>
    <w:p w14:paraId="0630B12F">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E71824"/>
    <w:rsid w:val="30E718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1</TotalTime>
  <ScaleCrop>false</ScaleCrop>
  <LinksUpToDate>false</LinksUpToDate>
  <CharactersWithSpaces>0</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2025-07-30T07:09:00Z</dcterms:created>
  <dc:creator>**</dc:creator>
  <cp:lastModifiedBy>**</cp:lastModifiedBy>
  <dcterms:modified xsi:type="dcterms:W3CDTF">2025-07-30T07:11:20Z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6DB3ACD10E2E4ABD898A2A7439E691CA_11</vt:lpwstr>
  </property>
  <property fmtid="{D5CDD505-2E9C-101B-9397-08002B2CF9AE}" pid="4" name="KSOTemplateDocerSaveRecord">
    <vt:lpwstr>eyJoZGlkIjoiOWRhMTUzZDUzMzQzMDdiNGFmNWY5YzI1ZjQ4MmZmMjkiLCJ1c2VySWQiOiI3MjkwNzE4MTYifQ==</vt:lpwstr>
  </property>
</Properties>
</file>