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 CONVERTIBLE DEBENTURE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Convertible Debenture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"Corporation”),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[DEBENTURE HOLDER NAME] </w:t>
      </w:r>
      <w:r>
        <w:rPr>
          <w:rFonts w:ascii="Arial" w:hAnsi="Arial" w:eastAsia="Arial" w:cs="Arial"/>
          <w:sz w:val="20"/>
          <w:lang w:val="en-US" w:eastAsia="en-US" w:bidi="en-US"/>
        </w:rPr>
        <w:t xml:space="preserve">(the "Debenture Holder"),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[PERCENTAGE %] Convertible Debenture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 [IDENTIFYING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PROMISE TO PAY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[YOUR COMPANY NAME] (hereinafter called the “Corporation”), for value received, promises to pay upon presentation of this Debenture to the registered holder hereof or his / her registered assigns, at [FULL ADDRESS], [STATE/PROVINCE], or at any other address in [COUNTRY] indicated by the registered holder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principal sum of [AMOUNT] in lawful money of [COUNTRY] (the “Principal”);</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Interest thereon from the date of this Debenture, both before and after default, in like money, at the rate of [PERCENTAGE %] percent per month, calculated and compounded monthly and not in advance, and payable quarterly in advance by the delivery of [NUMBER] post-dated checks at the beginning of each fiscal year of the Corporation, with interest on all overdue amounts of Principal or interest, calculated and compounded daily at the same rate, from the date that the such amount of Principal or interest becomes due to the actual date of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 royalty equal to [PERCENTAGE %] percent of the Corporation’s annual sales, calculated on the basis of its audited annual financial statements, and payable on the [NUMBER] day following the date of issuance of the said audited financial statements to the Corporation by its auditors, a copy of which shall be provided to the debenture 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Such royalty shall be adjusted to take into account any partial conversion of the present Debenture pursuant to Article 3 hereof. Any amount not paid when due under this subsection 1.1.3 shall bear interest at the rate set out in subsection 1.1.2 hereof, which shall apply mutatis mutandis.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Body Text Indent"/>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first royalty payment pursuant to subsection 1.1.3 shall become due and payable by the Corporation on [DATE] and shall be pro-rated to the number of days between [DATE] and [DATE]. The last such royalty payment shall become due and payable on [DATE], unless the present Debenture has been fully redeemed or converted pursuant to Article 2 or Article 3 hereof (as the case may be). The royalty shall continue to be due and payable so long as the Corporation has not fully reimbursed the Principal and all interest due and owing hereunder or the present Debenture has been fully converted.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REDEMPTION OF THE DEBENTURE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Corporation may redeem the Debenture at any time after the [NUMBER] anniversary of the date of its issuance upon the following terms and 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Corporation must advise the debenture holder in writing not less than [NUMBER] days prior to the date of redemption of its intention to exercise its redemption rights;</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redemption may be effected only for an amount at least equal to the Principal plus a compounded annual rate of return of [PERCENTAGE] percent calculated over the said [NUMBER] year period, which compounded rate of return shall take into account all interest pursuant to subsection 1.1.2 and all royalties pursuant to subsection 1.1.3 then already paid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2"/>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This Debenture may not be redeemed unless and until the Corporation shall have paid to the debenture holder in full all amounts of accrued interest and royalties due hereunder but unpaid, in addition to the redemption price contemplated in subsection 2.1.2.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debenture holder shall have the right to demand the redemption or conversion of the present Debenture at any time in the event of a default pursuant to Section 6 hereof, in which event the redemption price shall be equal to the sum of all accrued but unpaid interest and royalties hereunder plus an amount equal to the amount set out at subsection 2.1.2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shd w:val="clear" w:fill="00FFFF"/>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shd w:val="clear" w:fill="00FFFF"/>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CONVERSION OF THE DEBENTURE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At any time during the period between the date of issuance hereof and the [NUMBER] anniversary of such date the debenture holder shall have the option to convert the Principal pursuant to the present Debenture or any part thereof (including all accrued interest and royalties due hereunder and any accrued and unpaid interest on the unpaid interest and/or royalties) into such number of [SPECIFY CLASS] common shares in the capital stock of the Corporation (or any class of shares issued as a result of the redesignation of reclassification of the [SPECIFY CLASS] common shares, hereinafter the “Shares”) calculated as follows, by tendering at any time during normal business hours the Debenture together with a duly completed conversion notice in the form annexed hereto.</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Conversion Price shall be calculated per share on a fully diluted basis and on the assumption that the fair market value of the Corporation, immediately prior to the exercise by the debenture holder of its conversion rights, is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For purposes of this Debenture, the phrase “fully diluted” or “on a fully diluted basis” shall mean, when determining the issued and outstanding Common Shares of the Corporation, the aggregate of all issued and outstanding Common Shares and the number of Common Shares that would be issued on the full exercise of all options, warrants and other rights of any kind and whether or not contingent, to acquire or be issued from treasury Common Shares.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Once the debenture holder shall have complied with the provisions of Section 3.1, the number of Shares to be issued upon the exercise of the conversion right in respect of this Debenture shall be deemed to have been issued and the debenture holder shall be deemed to be registered holder of such Shares as of and from the Conversion Date.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immediately after the Conversion Date deliver to the debenture holder following the exercise of its conversion right a certificate for the Shares registered in the name of the debenture holder for the number of Shares to which the debenture holder is entitled.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Should the debenture holder opt to convert the entire amount contemplated in Section 3.1, the delivery pursuant to subsection 3.4 of the certificate for the appropriate number of Shares registered in the debenture holder’s name shall constitute the performance of all the obligations of the Corporation pursuant to this Debenture, such that all amounts due and payable pursuant to this Debenture shall be deemed to have been paid.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Should the debenture holder opt to convert less than the entire amount contemplated in Section 3.1, then upon the conversion of the present Debenture, the debenture holder shall be entitled to receive a new debenture upon the terms and conditions herein contained for the balance of the Principal not converted.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In the event that at any time prior to the conversion of this Debenture there shall occur: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 amalgamation, consolidation or other reorganization of the Corporation, or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any change in the rights, privileges, conditions and restrictions attaching to the Shares of the Corporation then issued and outstanding, (collectively, a “Change”) while this Debenture remains issued and outstanding then in whole or in part then such Change shall be effected in such manner that the shareholders of the Corporation may receive shares or rights bearing the same privileges, characteristics and rights as the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and the debenture holder shall retain its right to convert the Debenture into shares or rights of the same nature and for the same amounts as if the debenture holder had exercised its conversion rights immediately prior to such Change becoming effective. </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Corporation should amalgamate with another entity while the Debenture remains issued and outstanding in whole or in part, the Debenture shall be deemed to be the convertible debenture of the resulting entity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and any conversion pursuant to this Article 3 shall be a conversion into such number of shares of the resulting entity determined by calculating the Conversion Price as set out above immediately prior to the effective date of such amalgamation.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assume and pay all expenses in connection with the issuance of the Shares and any legal fees resulting from the conversion of this Debenture.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672"/>
        <w:rPr>
          <w:rFonts w:ascii="Arial" w:hAnsi="Arial" w:eastAsia="Arial" w:cs="Arial"/>
          <w:sz w:val="20"/>
          <w:lang w:val="en-US" w:eastAsia="en-US" w:bidi="en-US"/>
        </w:rPr>
      </w:pPr>
      <w:r>
        <w:rPr>
          <w:rFonts w:ascii="Arial" w:hAnsi="Arial" w:eastAsia="Arial" w:cs="Arial"/>
          <w:sz w:val="20"/>
          <w:lang w:val="en-US" w:eastAsia="en-US" w:bidi="en-US"/>
        </w:rPr>
        <w:t xml:space="preserve">The Corporation undertakes in favor of the debenture holder so long as any conversion right in respect of this Debenture may be exercised to ensure that any and all Shares issued upon the conversion of this Debenture shall be duly and validly issued and allotted and shall be fully paid and non-assessable, free of any prior subscription or other rights.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672"/>
        <w:rPr>
          <w:rFonts w:ascii="Arial" w:hAnsi="Arial" w:eastAsia="Arial" w:cs="Arial"/>
          <w:sz w:val="20"/>
          <w:lang w:val="en-US" w:eastAsia="en-US" w:bidi="en-US"/>
        </w:rPr>
      </w:pPr>
      <w:r>
        <w:rPr>
          <w:rFonts w:ascii="Arial" w:hAnsi="Arial" w:eastAsia="Arial" w:cs="Arial"/>
          <w:sz w:val="20"/>
          <w:lang w:val="en-US" w:eastAsia="en-US" w:bidi="en-US"/>
        </w:rPr>
        <w:t xml:space="preserve">No fraction of a Share shall be issued upon the conversion of this Debenture and the number of Shares to be issued upon such conversion shall be rounded to the nearest full number of Shares, with [NUMBER] of a Share being rounded up.</w:t>
      </w:r>
    </w:p>
    <w:p>
      <w:pPr>
        <w:pStyle w:val="Normal"/>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
        <w:rPr>
          <w:rFonts w:ascii="Arial" w:hAnsi="Arial" w:eastAsia="Arial" w:cs="Arial"/>
          <w:sz w:val="20"/>
          <w:lang w:val="en-US" w:eastAsia="en-US" w:bidi="en-US"/>
        </w:rPr>
      </w:pPr>
    </w:p>
    <w:p>
      <w:pPr>
        <w:pStyle w:val="Normal"/>
        <w:keepNext/>
        <w:keepLines/>
        <w:numPr>
          <w:ilvl w:val="1"/>
          <w:numId w:val="5"/>
        </w:numPr>
        <w:tabs>
          <w:tab w:val="left" w:pos="79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4" w:hanging="675"/>
        <w:rPr>
          <w:rFonts w:ascii="Arial" w:hAnsi="Arial" w:eastAsia="Arial" w:cs="Arial"/>
          <w:sz w:val="20"/>
          <w:lang w:val="en-US" w:eastAsia="en-US" w:bidi="en-US"/>
        </w:rPr>
      </w:pPr>
      <w:r>
        <w:rPr>
          <w:rFonts w:ascii="Arial" w:hAnsi="Arial" w:eastAsia="Arial" w:cs="Arial"/>
          <w:sz w:val="20"/>
          <w:lang w:val="en-US" w:eastAsia="en-US" w:bidi="en-US"/>
        </w:rPr>
        <w:t xml:space="preserve">In the event of a default pursuant to Section 6 hereof, the debenture holder shall be entitled to convert the Debenture upon the terms and conditions of Sections 3.3 to 3.10 hereof, which shall apply mutatis mutandis, provided however that in such case the Conversion Price shall be the book value (without giving effect to such conversion) per share of the Shares, on a fully diluted basis, based on the last audited annual financial statements of the Corporation for the fiscal year end immediately preceding the conversion date.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5"/>
        </w:numPr>
        <w:tabs>
          <w:tab w:val="left" w:pos="79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4" w:hanging="675"/>
        <w:rPr>
          <w:rFonts w:ascii="Arial" w:hAnsi="Arial" w:eastAsia="Arial" w:cs="Arial"/>
          <w:sz w:val="20"/>
          <w:lang w:val="en-US" w:eastAsia="en-US" w:bidi="en-US"/>
        </w:rPr>
      </w:pPr>
      <w:r>
        <w:rPr>
          <w:rFonts w:ascii="Arial" w:hAnsi="Arial" w:eastAsia="Arial" w:cs="Arial"/>
          <w:sz w:val="20"/>
          <w:lang w:val="en-US" w:eastAsia="en-US" w:bidi="en-US"/>
        </w:rPr>
        <w:t xml:space="preserve">	For purposes of this Debenture, “book value” shall mean the unadjusted book value of the Shares of the Corporation, as determined in the last annual balance sheet of the Corporation, without deferring R&amp;D or other expenses and without further adjustments other than the following: such Book Value of the Shares shall be adjusted, as required, by the Auditors of the Corporation, at the expense of the Corporation, according to the sole valuation of said Auditors, to take into account the purchases or redemptions of Shares and dividends declared or accumulated, as the case may be, of the Corporation, from the date of its last annual balance sheet; </w:t>
      </w:r>
    </w:p>
    <w:p>
      <w:pPr>
        <w:pStyle w:val="Normal"/>
        <w:keepNext/>
        <w:keepLines/>
        <w:tabs>
          <w:tab w:val="left" w:pos="11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9"/>
        <w:rPr>
          <w:rFonts w:ascii="Arial" w:hAnsi="Arial" w:eastAsia="Arial" w:cs="Arial"/>
          <w:sz w:val="20"/>
          <w:lang w:val="en-US" w:eastAsia="en-US" w:bidi="en-US"/>
        </w:rPr>
      </w:pPr>
    </w:p>
    <w:p>
      <w:pPr>
        <w:pStyle w:val="Normal"/>
        <w:keepNext/>
        <w:keepLines/>
        <w:numPr>
          <w:ilvl w:val="1"/>
          <w:numId w:val="5"/>
        </w:numPr>
        <w:tabs>
          <w:tab w:val="left" w:pos="79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4" w:hanging="675"/>
        <w:rPr>
          <w:rFonts w:ascii="Arial" w:hAnsi="Arial" w:eastAsia="Arial" w:cs="Arial"/>
          <w:sz w:val="20"/>
          <w:lang w:val="en-US" w:eastAsia="en-US" w:bidi="en-US"/>
        </w:rPr>
      </w:pPr>
      <w:r>
        <w:rPr>
          <w:rFonts w:ascii="Arial" w:hAnsi="Arial" w:eastAsia="Arial" w:cs="Arial"/>
          <w:sz w:val="20"/>
          <w:lang w:val="en-US" w:eastAsia="en-US" w:bidi="en-US"/>
        </w:rPr>
        <w:t xml:space="preserve">	no adjustment shall be made for the purpose of taking into account any profits, losses or extraordinary items from the date of the last fiscal period up to the date of the event by reason of which the Auditors are required to act hereunder; moreover, no revaluation of the book value of the assets of the Corporation, from the date of the last balance sheet shall affect the book value of the Shares; such valuation for the purposes of adjustments shall be made by the Auditors and their decision is final and binding upon all interested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ISSUANCE OF A REPLACEMENT DEBENTURE IN THE EVENT OF LOSS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In the event of the deterioration, loss, destruction or theft of this Debenture, the Corporation shall, subject to Section 4.2, issue, sign and deliver a new Debenture bearing the same date, the same Principal amount and the same terms and conditions as the debenture so deteriorated, lost, destroyed or stolen, in exchange for and in replacement of such deteriorated debenture or in cancellation of such lost, destroyed or stolen debenture.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debenture holder shall assume the cost of issuance of the replacement debenture and shall also, as a condition to its issuance, provide to the Corporation proof of the deterioration, loss, destruction or theft of the original debenture which is reasonably acceptable to the Corporation and the debenture holder may further be required to deliver to the Corporation, at its option, an indemnity in an amount and a form satisfactory to the Corporation and to pay the reasonable fees incurred by the Corporation with respect to such replacement.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GENERAL UNDERTAKINGS OF THE CORPORATION</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r>
        <w:rPr>
          <w:rFonts w:ascii="Arial" w:hAnsi="Arial" w:eastAsia="Arial" w:cs="Arial"/>
          <w:sz w:val="20"/>
          <w:lang w:val="en-US" w:eastAsia="en-US" w:bidi="en-US"/>
        </w:rPr>
        <w:t xml:space="preserve">The Corporation undertakes in favor of the debenture holder: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To pay or cause to be paid the Principal when due hereunder;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To pay or cause to be paid all accrued interest promptly when due hereunder (including in the event of default to do so, all interest on any accrued but unpaid interest) on the date, at the place and in the tender and manner mentioned herein;</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To pay or cause to be paid the annual royalty promptly when due hereunder, including in the event of default to do so, all interest on any accrued but unpaid royalties on the date, at the place and in the tender and manner mentioned herein;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To maintain its corporate existence at all times while this Debenture remains outstanding in whole or in part; furthermore, throughout such period, the Corporation shall not move its assets or operations outside the [SPECIFY] area;</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To maintain books of account in conformity with generally accepted accounting principles, but in any case for the purpose of calculating book value for the debenture conversion in case of default without deferring R&amp;D expenses, and to provide to the debenture holder within [NUMBER] days following each fiscal year end of the Corporation its audited annual financial statements and within [NUMBER] days after the end of each month of its fiscal year its monthly financial statements; and</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Not to do any of the things and not to take any of the decisions mentioned in Schedule A hereto without obtaining the prior written consent of the debenture holder; the debenture holder shall be entitled to exercise its veto rights conferred hereunder within [NUMBER] business days of written notice from the Corporation to such effect or within [NUMBER] business days of written notice from the Corporation should same state that the matter is urgent; should the debenture holder fail to respond in writing within the applicable delay, the board of directors may adopt the resolution contemplated by the notice given to the debenture holder pursuant to this Section 5.6.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DEFAULT AND EXECUTION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An event of default shall occur if: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fail to pay any amount of Principal when due and payable hereunder;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fail to pay any amount of interest when due and payable hereunder and such default shall continue for a period of [NUMBER] days following receipt by the Corporation of notice of such 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fail to pay the royalty when due and payable hereunder and such default shall continue for a period of [NUMBER] days following receipt by the Corporation of notice of such default;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if a decree or order of a court having jurisdiction in the premises is entered adjudging the Corporation as bankrupt or insolvent under the Bankruptcy and Insolvency [ACT/LAW/RULE] of [COUNTRY], as amended from time to time, or any other bankruptcy, insolvency or analogous [YOUR COUNTRY LAW] [ACT/LAW/RULE], or issuing sequestration or process of execution against, or against any substantial part of, the property of the Corporation or the Shares, or appointing a receiver of, or of any substantial part of, the property of the Corporation, or ordering the winding-up or liquidation of its affairs, and any such decree or order is not contested or appealed and continues unchanged and in effect for a period of [NUMBER]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if a creditor shall take possession of, register a prior notice of hypothecary right or withdraw authorization to collect claims with respect to the property of the Corporation or any part thereof which is, in the opinion of the debenture holder, a substantial part thereof, or if a creditor shall take or purport to take possession or to assert a prior claim or lien in respect of any property of the Corporation, or if a distress or execution or any similar process be levied or enforced there against any of the foregoing and remain unsatisfied for such period as would permit such property or such part thereof to be sold thereunder;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keepNext/>
        <w:keepLines/>
        <w:numPr>
          <w:ilvl w:val="2"/>
          <w:numId w:val="9"/>
        </w:numPr>
        <w:tabs>
          <w:tab w:val="left" w:pos="122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5" w:hanging="505"/>
        <w:rPr>
          <w:rFonts w:ascii="Arial" w:hAnsi="Arial" w:eastAsia="Arial" w:cs="Arial"/>
          <w:sz w:val="20"/>
          <w:lang w:val="en-US" w:eastAsia="en-US" w:bidi="en-US"/>
        </w:rPr>
      </w:pPr>
      <w:r>
        <w:rPr>
          <w:rFonts w:ascii="Arial" w:hAnsi="Arial" w:eastAsia="Arial" w:cs="Arial"/>
          <w:sz w:val="20"/>
          <w:lang w:val="en-US" w:eastAsia="en-US" w:bidi="en-US"/>
        </w:rPr>
        <w:t xml:space="preserve">if a resolution is passed or a petition filed for the winding-up or liquidation of the Corporation or if the Corporation institutes proceedings under the Companies Creditors’ Arrangement Act or any other bankruptcy, insolvency or analogous law or is adjudicated a bankrupt or insolvent, or consents to (or fails to contest in good faith) the institution of bankruptcy or insolvency proceedings against it or makes (or serves notice of intention to make) any proposal under the Bankruptcy and Insolvency [ACT/LAW/RULE] of ([COUNTRY])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or any other bankruptcy, insolvency or analogous [YOUR COUNTRY LAW], or consents (or fails to contest in good faith) to the filing of any such petition or to the appointment of a receiver of, or of any substantial part of, the property of the Corporation or makes a general assignment for the benefit of creditors, or admits in writing its inability to pay its debts generally as they become due or takes corporate action in furtherance of any of the aforesaid purposes, or should the Corporation’s financial situation deteriorate to the  point of compromising its survival;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if the Corporation shall fail to maintain the debt/equity and working capital financial ratios set out in Schedule B hereto in respect of any agreement with any creditor, including without limitation the debenture 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in the event of any default by the Corporation pursuant to one or more of (i) the Subscription Agreement, (ii) the Shareholders Agreement, (iii) any other agreement between, inter alia, the Corporation and the debenture holder or (iv) any agreement between the Corporation as debtor and any third party as creditor, which default continues for a period of [NUMBER] days or more following receipt by the Corporation of notice of such 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if the Corporation should fail to maintain its assets and operations within the Greater [STATE/PROVINCE] area;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if the debenture holder shall discover any fraud, false declaration in or falsification of the documents submitted to it by the Corporation in connection with this investment;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should any circumstance occur or come to the attention of the debenture holder which may, in its opinion, substantially affect in a negative manner the state of affairs, the assets or the financial position of the Corporation;</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should there be any change in the control of the Corporation’s business, the ultimate control of the Corporation or the nature of its operations, without the prior approval by the debenture holder.</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720"/>
        <w:rPr>
          <w:rFonts w:ascii="Arial" w:hAnsi="Arial" w:eastAsia="Arial" w:cs="Arial"/>
          <w:sz w:val="20"/>
          <w:lang w:val="en-US" w:eastAsia="en-US" w:bidi="en-US"/>
        </w:rPr>
      </w:pPr>
    </w:p>
    <w:p>
      <w:pPr>
        <w:pStyle w:val="Body Text Inden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Subject to Section 6.3, should an event of default occur or persist, the debenture holder may, at its option, by written notice to the Corporation as provided for in Article [NUMBER] hereof:</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demand the redemption of the Debenture and the Corporation shall thereupon pay without delay to the debenture holder the redemption price contemplated in subsection 2.2 hereof or</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Normal"/>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demand the conversion of the debenture in accordance with Article [NUMBER] hereof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demand that security satisfactory to the debenture holder be provided in respect of the assets of the Corporation. Once made, the payment provided for in subsection 6.2.1 shall be deemed to liberate the Corporation from its obligations pursuant hereto such that all amounts due pursuant to this Debenture shall be deemed to have been paid.</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840"/>
        <w:rPr>
          <w:rFonts w:ascii="Arial" w:hAnsi="Arial" w:eastAsia="Arial" w:cs="Arial"/>
          <w:sz w:val="20"/>
          <w:lang w:val="en-US" w:eastAsia="en-US" w:bidi="en-US"/>
        </w:rPr>
      </w:pPr>
    </w:p>
    <w:p>
      <w:pPr>
        <w:pStyle w:val="Body Text Inden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Should an event of default occur, the debenture holder may, at its option, exercise its rights by any act, proceeding, recourse or procedure authorized or permitted by law and may file its proof and any other documents necessary or desirable so that the request of the debenture holder may be considered in any liquidation or other proceeding with respect to the Corporation.</w:t>
      </w:r>
    </w:p>
    <w:p>
      <w:pPr>
        <w:pStyle w:val="Body Text Inden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No recourse by the debenture holder shall be subject to the exercise of any other recourse and all recourses may be exercised independently or together.</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delay or omission of the Corporation to exercise any recourse mentioned above shall not invalidate any such recourse nor be interpreted as a waiver of any default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CHANGE OF CONTROL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For the purposes hereof, “change of control” shall mean any transaction or group of transactions by one or more shareholders having the effect of permitting, after the date hereof, any person other than the existing shareholders to claim [PERCENTAGE %] percent or more of the issued and outstanding voting shares in the capital stock of the Corporation at the time of such change of control or of the transaction intended to give effect thereto.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As soon as possible following any offer of sale, purchase, exchange or redemption which would result in a change of control, the Secretary of the Corporation shall advise in writing the debenture holder that such an offer has been made and shall attach a copy of the offer to such notice together with all such other documents as the Secretary or the Corporation, in their discretion, may consider necessary or useful in order to permit the debenture holder to exercise its rights hereunder.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Subject to this Article [NUMBER], if an offer of sale, purchase, exchange or redemption which would result in a change of control is made, the debenture holder may, in its absolute discretion, by written notice to the Corporation in the manner contemplated in Article [NUMBER] hereof, demand the redemption of the Debenture and the Corporation shall thereupon without delay pay to the debenture holder the redemption price provided for in section 2.2.</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RANKING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present Debenture shall be subordinate to all secured, guaranteed and preferred indebtedness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Other than in the case of a general disruption of interruption in postal services provided for below, all notices to be given hereunder shall be deemed to be validly given to the holders thereof if sent by telecopier or by ordinary mail, postage prepaid, by letter or circular addressed to such party at its post office address and shall be deemed to have been received at the time effectively received if given by telecopier, and on the [NUMBER] business day of uninterrupted postal service following the day of mailing or at the time of actual delivery, if delivered.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If to the Corporation: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with a courtesy copy 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Body Text Indent"/>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If to the debenture holder: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with a courtesy copy 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rPr>
          <w:rFonts w:ascii="Arial" w:hAnsi="Arial" w:eastAsia="Arial" w:cs="Arial"/>
          <w:sz w:val="20"/>
          <w:lang w:val="en-US" w:eastAsia="en-US" w:bidi="en-US"/>
        </w:rPr>
      </w:pPr>
      <w:r>
        <w:rPr>
          <w:rFonts w:ascii="Arial" w:hAnsi="Arial" w:eastAsia="Arial" w:cs="Arial"/>
          <w:sz w:val="20"/>
          <w:lang w:val="en-US" w:eastAsia="en-US" w:bidi="en-US"/>
        </w:rPr>
        <w:t xml:space="preserve">Telecopier: [FAX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Corporation or the debenture holder, as the case may be, may from time to time notify the other in accordance with the provisions hereof, of any change of address which thereafter, until changed by like notice, shall be its address for all purposes of this Agreement. In the event of actual or threatened postal interruption, notice shall be made by delivery or telecopy. Receipt of a courtesy copy of any notice or other communication shall not be a condition to the effectiveness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10.	ASSIGNMENT OF DEBENTURE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present Debenture is assignable in accordance with and under the circumstances permitted by the Shareholders Agreement between, inter alia, the Corporation, the debenture holder and the other shareholders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11.	INTERPRETATION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division of this Debenture into articles and the insertion of titles shall not serve other than for purpose of consultation and shall have no effect on the interpretation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12.	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debenture and all documents ancillary hereto shall be governed by and interpreted in accordance with the Laws of [YOUR COUNTRY LAW] OR of the State/Province of [STATE/PROVINCE], without regard to any conflicts of [YOUR COUNTRY LAW]’s law principles applicable therein. Each of the parties hereto irrevocably attorns to the non-exclusive jurisdiction of the courts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CORPORATION 					DEBENTURE HOLDER</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FORM OF TRANSFER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VALUE RECEIVED the undersigned sells, assigns and transfers unto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(PLEASE PRINT NAME AND ADDRESS OF TRANSFEREE)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present Debenture (or [AMOUNT] of the aggregate of the Principal thereof and all amounts of interest and royalties thereunder) together with interest thereon and all other amounts payable in respect thereof, and hereby irrevocably constitutes and appoints attorney to transfer the said Debentures on the register for the [PERCENTAGE %] Convertible Debentures of the within mentioned Corporation, with full power of substitution in the premises.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less than the aggregate of the Principal thereof and all amounts of interest and royalties thereunder of the present Debenture is to be transferred, indicate in the space provided the amount of the aggregate of the Principal thereof and all amounts of interest and royalties thereunder to be transferred.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00FFFF"/>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fr-FR" w:eastAsia="fr-FR" w:bidi="fr-FR"/>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Dated: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SIGNATURE OF TRANSFEROR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signature of the transferor of the within Debentures authorizing this transfer must be guaranteed by a chartered bank, by a trust company or by a member firm of a recognized stock exchange).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FORM OF CONVERSION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undersigned, registered holder of the within Debentures, hereby irrevocably elects to convert the present Debenture (or [AMOUNT] of the aggregate of the Principal thereof and all amounts of interest and royalties thereunder) for [SPECIFY] common shares of Corporation in accordance with the terms and conditions of the present Debenture and directs that the [SPECIFY] common shares of Corporation transferable and to be delivered upon exchange be transferred and delivered to the person indicated below. (If [SPECIFY] common shares of Corporation are to be transferred to a person other than the holder, all requisite transfer taxes must be tendered by the undersigned).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less than the aggregate of the Principal of and all amounts of interest and royalties under the present Debenture is to be exchanged, indicate in the space provided the amount of the aggregate of the Principal thereof and all amounts of interest and royalties thereunder to be exchanged.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Dated: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SIGNATURE OF REGISTERED 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[SPECIFY] common shares of Corporation are to be transferred to a person other than the registered holder, a form of transfer substantially in the form of the above Form of Transfer must be completed and the registered holder’s signature must be guaranteed by a chartered bank, by a trust company, or by a member firm of a recognized stock exchange).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(Print name in which [SPECIFY] common shares of Corporation transferable upon conversion are to be transferred, delivered and registered)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(CITY, PROVINCE AND POSTAL CODE)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sz w:val="20"/>
          <w:lang w:val="en-US" w:eastAsia="en-US" w:bidi="en-US"/>
        </w:rPr>
        <w:br w:type="page"/>
      </w:r>
      <w:r>
        <w:rPr>
          <w:sz w:val="20"/>
          <w:lang w:val="en-US" w:eastAsia="en-US" w:bidi="en-US"/>
        </w:rPr>
        <w:t xml:space="preserve">SCHEDULE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DECISIONS REQUIRING CONSENT OF DEBENTURE 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	Filing articles of amendment or of continuance into another jurisdiction in respect of, or repealing or amending the by-laws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	Making any change to the rights, restrictions, conditions or privileges attaching to the shares of, or to the authorized or issued share capital of, or to any stock option plan of, the Corporation or any Subsidiary, or issuing or redeeming Shares, warrants, options, conversion rights or any other equity securities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	Approving the operating budgets, capital expenditures budgets and research and development budgets of the Corporation and its Subsidiaries; or changing the auditors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	Creating any Subsidiary of the Corporation or of its Subsidiary, whether wholly or partially owned, or selling, transferring, redeeming or converting Shares, warrants, options, conversion rights or any other equity securities of any Subsidiary of the Corporation, or agreeing to purchase or acquire Shares in the capital of any body corporate or all or any substantial part of the assets of another person, firm, corporation or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5.	Declaring dividends on Shares of any class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6.	Taking any action to wind-up, dissolve or terminate the corporate existence of the Corporation or any Subsidiary or taking any action which may lead to or result in a material change in the business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7.	Entering into any agreement for the purchase or sale of any asset other than in the ordinary course of the business of the Corporation or if provided for in the annual budgets of the Corporation or any Subsidiary, once approved by the Debenture 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8.	The sale, lease, exchange or disposition by the Corporation or any Subsidiary of its entire undertaking, property or assets or any substantial part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9.	Entering into an amalgamation, merger or consolidation, joint venture or partnership with any other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10.	Except in the ordinary course of its business to arm’s length third parties, directly or indirectly making loans or advances to or investments in, or giving security for or guaranteeing the debts and obligations of, any other Person; or, entering into any transaction or contract between the Corporation or any Subsidiary and any Person with whom the Corporation does not deal at arm’s length or the control (as such term is defined in the [COUNTRY] Business Corporations [ACT/LAW/RULE]) of which is held, directly or indirectly, by an officer or employee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	Any purchase or disposition of fixed assets or any loan, borrowing or other financial undertaking of or by the Corporation or any Subsidiary in excess, in each case, of [AMOUNT] per event or per fiscal year, except if provided for in the annual budgets of the Corporation once approved by the Debenture 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12.	Any public offering of any of the securities of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13.	Any purchase, sale, encumbering or licensing by the Corporation or any Subsidiary of any technology, patents, know-how, trade marks or industrial designs.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14.	Settling any legal proceeding instituted by or against the Corporation or any Subsidiary.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15.	Increasing the base remuneration of any director or officer of the Corporation or its Subsidiary who, directly or indirectly, owns and controls Shares in the capital stock of the Corporation or any Subsidiary, by more than the latest annual increase of the consumer price index.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16.	Approving the hiring or dismissal of any member of the Key Management Personnel of the Corporation (“Key Management Personnel” means any individual occupying any position with the Corporation which is higher than or at the same level as department manager or business unit 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17.	Approving or granting bonuses or similar incentives to employees and advances to shareholders.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18.	Permitting any employee of the Corporation or any consultant hired by the Corporation to publish any scientific article related to the activities of the Corporation or to participate in any interview having as its subject any proprietary technology developed by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19.	Any change in the bankers of the Corporation or the signing authority in respect of such bankers.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20.	Any relocation of the Corporation’s operations or assets outside the [STATE/PROVINCE] area.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	Any change in the project for which the present investment was made, as described in the financing letter dated [DATE] addressed by [SPECIFY] to the Corporation and accepted by it on [DATE] and as amended by [SPECIFY] letter dated [DATE] to the Corporation, including without limitation any abandonment in whole or in part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lang w:val="en-US" w:eastAsia="en-US" w:bidi="en-US"/>
        </w:rPr>
        <w:br w:type="page"/>
      </w:r>
      <w:r>
        <w:rPr>
          <w:sz w:val="20"/>
          <w:lang w:val="en-US" w:eastAsia="en-US" w:bidi="en-US"/>
        </w:rPr>
        <w:t xml:space="preserve">SCHEDULE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DEBT / EQUITY RATIOS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maintain the following ratios: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	A working capital ratio equal to or greater than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	A ratio of total debt to net worth (net worth being defined as total shareholders’ equity and advances subordinated to the Bank less advances to directors and affiliated companies less intangible assets) (including grants and the debentures issued to the Investors) of less than [SPECIFY];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	A ratio of deferred expenses with respect to retained earnings equal to or less than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Convertible Debenture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2"/>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2"/>
    <w:lvlOverride w:ilvl="1">
      <w:lvl w:ilvl="1">
        <w:start w:val="1"/>
        <w:numFmt w:val="decimal"/>
        <w:suff w:val="tab"/>
        <w:lvlText w:val="%1.%2."/>
        <w:pPr>
          <w:ind w:left="792" w:hanging="672"/>
          <w:tabs>
            <w:tab w:val="num" w:pos="792"/>
          </w:tabs>
        </w:pPr>
        <w:rPr>
          <w:rFonts w:hint="default" w:ascii="Arial" w:hAnsi="Arial" w:eastAsia="Arial" w:cs="Arial"/>
          <w:b w:val="off"/>
          <w:i w:val="off"/>
          <w:strike w:val="off"/>
          <w:color w:val="auto"/>
          <w:position w:val="0"/>
          <w:sz w:val="20"/>
          <w:u w:val="none"/>
          <w:shd w:val="clear" w:fill="auto"/>
        </w:rPr>
      </w:lvl>
    </w:lvlOverride>
  </w:num>
  <w:num w:numId="5">
    <w:abstractNumId w:val="2"/>
    <w:lvlOverride w:ilvl="1">
      <w:lvl w:ilvl="1">
        <w:start w:val="1"/>
        <w:numFmt w:val="decimal"/>
        <w:suff w:val="tab"/>
        <w:lvlText w:val="%1.%2."/>
        <w:pPr>
          <w:ind w:left="794" w:hanging="675"/>
          <w:tabs>
            <w:tab w:val="num" w:pos="794"/>
          </w:tabs>
        </w:pPr>
        <w:rPr>
          <w:rFonts w:hint="default" w:ascii="Arial" w:hAnsi="Arial" w:eastAsia="Arial" w:cs="Arial"/>
          <w:b w:val="off"/>
          <w:i w:val="off"/>
          <w:strike w:val="off"/>
          <w:color w:val="auto"/>
          <w:position w:val="0"/>
          <w:sz w:val="20"/>
          <w:u w:val="none"/>
          <w:shd w:val="clear" w:fill="auto"/>
        </w:rPr>
      </w:lvl>
    </w:lvlOverride>
  </w:num>
  <w:num w:numId="6">
    <w:abstractNumId w:val="3"/>
  </w:num>
  <w:num w:numId="7">
    <w:abstractNumId w:val="4"/>
  </w:num>
  <w:num w:numId="8">
    <w:abstractNumId w:val="5"/>
  </w:num>
  <w:num w:numId="9">
    <w:abstractNumId w:val="5"/>
    <w:lvlOverride w:ilvl="2">
      <w:lvl w:ilvl="2">
        <w:start w:val="1"/>
        <w:numFmt w:val="decimal"/>
        <w:suff w:val="tab"/>
        <w:lvlText w:val="%1.%2.%3."/>
        <w:pPr>
          <w:ind w:left="1225" w:hanging="505"/>
          <w:tabs>
            <w:tab w:val="num" w:pos="1225"/>
          </w:tabs>
        </w:pPr>
        <w:rPr>
          <w:rFonts w:hint="default" w:ascii="Arial" w:hAnsi="Arial" w:eastAsia="Arial" w:cs="Arial"/>
          <w:b w:val="off"/>
          <w:i w:val="off"/>
          <w:strike w:val="off"/>
          <w:color w:val="auto"/>
          <w:position w:val="0"/>
          <w:sz w:val="20"/>
          <w:u w:val="none"/>
          <w:shd w:val="clear" w:fill="auto"/>
        </w:rPr>
      </w:lvl>
    </w:lvlOverride>
  </w:num>
  <w:num w:numId="10">
    <w:abstractNumId w:val="5"/>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11">
    <w:abstractNumId w:val="6"/>
  </w:num>
  <w:num w:numId="12">
    <w:abstractNumId w:val="7"/>
  </w:num>
  <w:num w:numId="13">
    <w:abstractNumId w:val="8"/>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w:name w:val="Body Text Indent"/>
    <w:basedOn w:val="Normal"/>
    <w:next w:val="Body Text Indent"/>
    <w:qFormat/>
    <w:pPr>
      <w:ind w:left="1440" w:hanging="720"/>
    </w:pPr>
    <w:rPr>
      <w:rFonts w:ascii="Arial" w:hAnsi="Arial" w:eastAsia="Arial" w:cs="Arial"/>
      <w:sz w:val="20"/>
      <w:szCs w:val="20"/>
    </w:rPr>
  </w:style>
  <w:style w:type="paragraph" w:styleId="Body Text Indent 3">
    <w:name w:val="Body Text Indent 3"/>
    <w:basedOn w:val="Normal"/>
    <w:next w:val="Body Text Indent 3"/>
    <w:qFormat/>
    <w:pPr>
      <w:ind w:left="2280" w:hanging="840"/>
    </w:pPr>
    <w:rPr>
      <w:rFonts w:ascii="Arial" w:hAnsi="Arial" w:eastAsia="Arial" w:cs="Arial"/>
      <w:sz w:val="20"/>
      <w:szCs w:val="20"/>
    </w:rPr>
  </w:style>
  <w:style w:type="paragraph" w:styleId="Heading 1">
    <w:name w:val="Heading 1"/>
    <w:basedOn w:val="Normal"/>
    <w:next w:val="Normal"/>
    <w:qFormat/>
    <w:pPr>
      <w:keepNext/>
      <w:jc w:val="center"/>
    </w:pPr>
    <w:rPr>
      <w:rFonts w:ascii="Arial" w:hAnsi="Arial" w:eastAsia="Arial" w:cs="Arial"/>
      <w:b/>
      <w:bCs/>
      <w:sz w:val="32"/>
      <w:szCs w:val="32"/>
      <w:u w:val="single"/>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 w:type="character" w:styleId="ParaNum">
    <w:name w:val="ParaNum"/>
    <w:qFormat/>
    <w:rPr>
      <w:b w:val="off"/>
      <w:bCs w:val="off"/>
      <w:i w:val="off"/>
      <w:iCs w:val="off"/>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DEBENTURE CONVERTIBLE</dc:title>
</cp:coreProperties>
</file>