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285"/>
        <w:tblW w:w="13619" w:type="dxa"/>
        <w:tblLook w:val="04A0" w:firstRow="1" w:lastRow="0" w:firstColumn="1" w:lastColumn="0" w:noHBand="0" w:noVBand="1"/>
      </w:tblPr>
      <w:tblGrid>
        <w:gridCol w:w="4539"/>
        <w:gridCol w:w="4540"/>
        <w:gridCol w:w="4540"/>
      </w:tblGrid>
      <w:tr w:rsidR="00FC64D7" w:rsidTr="00C51078">
        <w:trPr>
          <w:trHeight w:val="795"/>
        </w:trPr>
        <w:tc>
          <w:tcPr>
            <w:tcW w:w="4539" w:type="dxa"/>
            <w:tcBorders>
              <w:top w:val="single" w:sz="4" w:space="0" w:color="auto"/>
              <w:left w:val="nil"/>
              <w:bottom w:val="single" w:sz="4" w:space="0" w:color="auto"/>
              <w:right w:val="nil"/>
            </w:tcBorders>
          </w:tcPr>
          <w:p w:rsidR="00FC64D7" w:rsidRPr="00373B2A" w:rsidRDefault="00FC64D7" w:rsidP="00373B2A">
            <w:pPr>
              <w:rPr>
                <w:b/>
              </w:rPr>
            </w:pPr>
            <w:r w:rsidRPr="00373B2A">
              <w:rPr>
                <w:b/>
              </w:rPr>
              <w:t>Model Experiment</w:t>
            </w:r>
          </w:p>
        </w:tc>
        <w:tc>
          <w:tcPr>
            <w:tcW w:w="4540" w:type="dxa"/>
            <w:tcBorders>
              <w:top w:val="single" w:sz="4" w:space="0" w:color="auto"/>
              <w:left w:val="nil"/>
              <w:bottom w:val="single" w:sz="4" w:space="0" w:color="auto"/>
              <w:right w:val="nil"/>
            </w:tcBorders>
          </w:tcPr>
          <w:p w:rsidR="00FC64D7" w:rsidRPr="00373B2A" w:rsidRDefault="00FC64D7" w:rsidP="00373B2A">
            <w:pPr>
              <w:rPr>
                <w:b/>
              </w:rPr>
            </w:pPr>
            <w:r w:rsidRPr="00373B2A">
              <w:rPr>
                <w:b/>
              </w:rPr>
              <w:t>Description</w:t>
            </w:r>
          </w:p>
        </w:tc>
        <w:tc>
          <w:tcPr>
            <w:tcW w:w="4540" w:type="dxa"/>
            <w:tcBorders>
              <w:top w:val="single" w:sz="4" w:space="0" w:color="auto"/>
              <w:left w:val="nil"/>
              <w:bottom w:val="single" w:sz="4" w:space="0" w:color="auto"/>
              <w:right w:val="nil"/>
            </w:tcBorders>
          </w:tcPr>
          <w:p w:rsidR="00FC64D7" w:rsidRPr="00373B2A" w:rsidRDefault="00FC64D7" w:rsidP="00C51078">
            <w:pPr>
              <w:rPr>
                <w:b/>
              </w:rPr>
            </w:pPr>
            <w:r w:rsidRPr="00373B2A">
              <w:rPr>
                <w:b/>
              </w:rPr>
              <w:t xml:space="preserve">Parameters </w:t>
            </w:r>
            <w:r w:rsidR="00C51078">
              <w:rPr>
                <w:b/>
              </w:rPr>
              <w:t>Changed</w:t>
            </w:r>
          </w:p>
        </w:tc>
      </w:tr>
      <w:tr w:rsidR="00FC64D7" w:rsidTr="00373B2A">
        <w:trPr>
          <w:trHeight w:val="1350"/>
        </w:trPr>
        <w:tc>
          <w:tcPr>
            <w:tcW w:w="4539" w:type="dxa"/>
            <w:tcBorders>
              <w:top w:val="single" w:sz="4" w:space="0" w:color="auto"/>
              <w:left w:val="nil"/>
              <w:bottom w:val="nil"/>
              <w:right w:val="nil"/>
            </w:tcBorders>
          </w:tcPr>
          <w:p w:rsidR="00FC64D7" w:rsidRDefault="00FC64D7" w:rsidP="00373B2A">
            <w:r>
              <w:t>Leveraging Interactions Experiment</w:t>
            </w:r>
          </w:p>
        </w:tc>
        <w:tc>
          <w:tcPr>
            <w:tcW w:w="4540" w:type="dxa"/>
            <w:tcBorders>
              <w:top w:val="single" w:sz="4" w:space="0" w:color="auto"/>
              <w:left w:val="nil"/>
              <w:bottom w:val="nil"/>
              <w:right w:val="nil"/>
            </w:tcBorders>
          </w:tcPr>
          <w:p w:rsidR="00FC64D7" w:rsidRDefault="00FC64D7" w:rsidP="00373B2A">
            <w:r>
              <w:t>How to outcomes differ across a range of species 1 harvest and stocking levels either with or without harvest of species 2.</w:t>
            </w:r>
          </w:p>
        </w:tc>
        <w:tc>
          <w:tcPr>
            <w:tcW w:w="4540" w:type="dxa"/>
            <w:tcBorders>
              <w:top w:val="single" w:sz="4" w:space="0" w:color="auto"/>
              <w:left w:val="nil"/>
              <w:bottom w:val="nil"/>
              <w:right w:val="nil"/>
            </w:tcBorders>
          </w:tcPr>
          <w:p w:rsidR="00FC64D7" w:rsidRDefault="00373B2A" w:rsidP="00373B2A">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t xml:space="preserve"> range 0 to 2000</w:t>
            </w:r>
          </w:p>
          <w:p w:rsidR="00FC64D7" w:rsidRDefault="00373B2A" w:rsidP="00373B2A">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rsidR="00FC64D7">
              <w:t xml:space="preserve"> 0 to 8</w:t>
            </w:r>
          </w:p>
          <w:p w:rsidR="00FC64D7" w:rsidRDefault="00373B2A" w:rsidP="00373B2A">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rsidR="00FC64D7">
              <w:t xml:space="preserve"> 0 or 2 </w:t>
            </w:r>
            <w:r>
              <w:t>respectively</w:t>
            </w:r>
          </w:p>
        </w:tc>
      </w:tr>
      <w:tr w:rsidR="00373B2A" w:rsidTr="00373B2A">
        <w:trPr>
          <w:trHeight w:val="1877"/>
        </w:trPr>
        <w:tc>
          <w:tcPr>
            <w:tcW w:w="4539" w:type="dxa"/>
            <w:tcBorders>
              <w:top w:val="nil"/>
              <w:left w:val="nil"/>
              <w:bottom w:val="nil"/>
              <w:right w:val="nil"/>
            </w:tcBorders>
          </w:tcPr>
          <w:p w:rsidR="00373B2A" w:rsidRDefault="00373B2A" w:rsidP="00373B2A">
            <w:r>
              <w:t>Alternative Approaches Experiment</w:t>
            </w:r>
          </w:p>
        </w:tc>
        <w:tc>
          <w:tcPr>
            <w:tcW w:w="4540" w:type="dxa"/>
            <w:tcBorders>
              <w:top w:val="nil"/>
              <w:left w:val="nil"/>
              <w:bottom w:val="nil"/>
              <w:right w:val="nil"/>
            </w:tcBorders>
          </w:tcPr>
          <w:p w:rsidR="00373B2A" w:rsidRDefault="00373B2A" w:rsidP="00373B2A">
            <w:r>
              <w:t>Managers may achieve the same outcome through managing the focal species only or both interacting species.  We compare outcomes across a range of species 1 stocking and species 2 harvest combinations at 3 different levels of species 1 harvest.</w:t>
            </w:r>
          </w:p>
        </w:tc>
        <w:tc>
          <w:tcPr>
            <w:tcW w:w="4540" w:type="dxa"/>
            <w:tcBorders>
              <w:top w:val="nil"/>
              <w:left w:val="nil"/>
              <w:bottom w:val="nil"/>
              <w:right w:val="nil"/>
            </w:tcBorders>
          </w:tcPr>
          <w:p w:rsidR="00373B2A" w:rsidRDefault="00373B2A" w:rsidP="00373B2A">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t xml:space="preserve"> range 0 to 2000</w:t>
            </w:r>
          </w:p>
          <w:p w:rsidR="00373B2A" w:rsidRDefault="00373B2A" w:rsidP="00373B2A">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 to 8</w:t>
            </w:r>
          </w:p>
          <w:p w:rsidR="00373B2A" w:rsidRDefault="00373B2A" w:rsidP="00373B2A">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0 or 2 respectively</w:t>
            </w:r>
          </w:p>
        </w:tc>
      </w:tr>
      <w:tr w:rsidR="00373B2A" w:rsidTr="00373B2A">
        <w:trPr>
          <w:trHeight w:val="2777"/>
        </w:trPr>
        <w:tc>
          <w:tcPr>
            <w:tcW w:w="4539" w:type="dxa"/>
            <w:tcBorders>
              <w:top w:val="nil"/>
              <w:left w:val="nil"/>
              <w:bottom w:val="single" w:sz="4" w:space="0" w:color="auto"/>
              <w:right w:val="nil"/>
            </w:tcBorders>
          </w:tcPr>
          <w:p w:rsidR="00373B2A" w:rsidRDefault="00373B2A" w:rsidP="00373B2A">
            <w:r>
              <w:t>Safe Operating Space Experiment</w:t>
            </w:r>
          </w:p>
        </w:tc>
        <w:tc>
          <w:tcPr>
            <w:tcW w:w="4540" w:type="dxa"/>
            <w:tcBorders>
              <w:top w:val="nil"/>
              <w:left w:val="nil"/>
              <w:bottom w:val="single" w:sz="4" w:space="0" w:color="auto"/>
              <w:right w:val="nil"/>
            </w:tcBorders>
          </w:tcPr>
          <w:p w:rsidR="00373B2A" w:rsidRDefault="00373B2A" w:rsidP="00373B2A">
            <w:r>
              <w:t>Given a slow moving change that is outside managerial control, can we use the tools at our disposal to keep the system in the safe operating space where the desired stable state is maintained.</w:t>
            </w:r>
          </w:p>
        </w:tc>
        <w:tc>
          <w:tcPr>
            <w:tcW w:w="4540" w:type="dxa"/>
            <w:tcBorders>
              <w:top w:val="nil"/>
              <w:left w:val="nil"/>
              <w:bottom w:val="single" w:sz="4" w:space="0" w:color="auto"/>
              <w:right w:val="nil"/>
            </w:tcBorders>
          </w:tcPr>
          <w:p w:rsidR="00373B2A" w:rsidRDefault="00373B2A" w:rsidP="00373B2A">
            <w:r>
              <w:t>Panel A: fecundity declines to 1% of its initial value over 100 years</w:t>
            </w:r>
          </w:p>
          <w:p w:rsidR="00373B2A" w:rsidRDefault="00373B2A" w:rsidP="00C51078">
            <w:r>
              <w:t xml:space="preserve">Panel B: Fecundity declines as above, </w:t>
            </w:r>
            <m:oMath>
              <m:r>
                <w:rPr>
                  <w:rFonts w:ascii="Cambria Math" w:hAnsi="Cambria Math" w:cs="Times New Roman"/>
                </w:rPr>
                <m:t xml:space="preserve"> </m:t>
              </m:r>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rsidR="00C51078">
              <w:t xml:space="preserve"> </w:t>
            </w:r>
            <w:r w:rsidR="00C51078">
              <w:t>= 2</w:t>
            </w:r>
          </w:p>
          <w:p w:rsidR="00373B2A" w:rsidRDefault="00373B2A" w:rsidP="00373B2A">
            <w:r>
              <w:t xml:space="preserve">Panel C: Fecundity declines as above, </w:t>
            </w:r>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C51078">
              <w:rPr>
                <w:rFonts w:eastAsiaTheme="minorEastAsia"/>
                <w:b/>
                <w:bCs/>
              </w:rPr>
              <w:t xml:space="preserve">= </w:t>
            </w:r>
            <w:r w:rsidR="00C51078">
              <w:t>15</w:t>
            </w:r>
          </w:p>
          <w:p w:rsidR="00373B2A" w:rsidRDefault="00373B2A" w:rsidP="00C51078">
            <w:r>
              <w:t xml:space="preserve">Panel D: Fecundity declines as above, </w:t>
            </w:r>
            <m:oMath>
              <m:sSub>
                <m:sSubPr>
                  <m:ctrlPr>
                    <w:rPr>
                      <w:rFonts w:ascii="Cambria Math" w:hAnsi="Cambria Math" w:cs="Times New Roman"/>
                      <w:b/>
                      <w:bCs/>
                    </w:rPr>
                  </m:ctrlPr>
                </m:sSubPr>
                <m:e>
                  <m:r>
                    <m:rPr>
                      <m:sty m:val="bi"/>
                    </m:rPr>
                    <w:rPr>
                      <w:rFonts w:ascii="Cambria Math" w:hAnsi="Cambria Math" w:cs="Times New Roman"/>
                    </w:rPr>
                    <m:t>k</m:t>
                  </m:r>
                </m:e>
                <m:sub>
                  <m:r>
                    <m:rPr>
                      <m:sty m:val="bi"/>
                    </m:rPr>
                    <w:rPr>
                      <w:rFonts w:ascii="Cambria Math" w:hAnsi="Cambria Math" w:cs="Times New Roman"/>
                    </w:rPr>
                    <m:t>1</m:t>
                  </m:r>
                </m:sub>
              </m:sSub>
            </m:oMath>
            <w:r w:rsidR="00C51078">
              <w:rPr>
                <w:rFonts w:eastAsiaTheme="minorEastAsia"/>
                <w:b/>
                <w:bCs/>
              </w:rPr>
              <w:t xml:space="preserve">= </w:t>
            </w:r>
            <w:r w:rsidR="00C51078">
              <w:t>15</w:t>
            </w:r>
            <w:r w:rsidR="00C51078">
              <w:t>, and</w:t>
            </w:r>
            <w:r w:rsidR="00C51078">
              <w:t xml:space="preserve"> </w:t>
            </w:r>
            <m:oMath>
              <m:r>
                <w:rPr>
                  <w:rFonts w:ascii="Cambria Math" w:hAnsi="Cambria Math" w:cs="Times New Roman"/>
                </w:rPr>
                <m:t xml:space="preserve"> </m:t>
              </m:r>
              <m:r>
                <m:rPr>
                  <m:sty m:val="bi"/>
                </m:rPr>
                <w:rPr>
                  <w:rFonts w:ascii="Cambria Math" w:hAnsi="Cambria Math" w:cs="Times New Roman"/>
                </w:rPr>
                <m:t>q</m:t>
              </m:r>
              <m:sSub>
                <m:sSubPr>
                  <m:ctrlPr>
                    <w:rPr>
                      <w:rFonts w:ascii="Cambria Math" w:hAnsi="Cambria Math" w:cs="Times New Roman"/>
                      <w:b/>
                      <w:bCs/>
                    </w:rPr>
                  </m:ctrlPr>
                </m:sSubPr>
                <m:e>
                  <m:r>
                    <m:rPr>
                      <m:sty m:val="bi"/>
                    </m:rPr>
                    <w:rPr>
                      <w:rFonts w:ascii="Cambria Math" w:hAnsi="Cambria Math" w:cs="Times New Roman"/>
                    </w:rPr>
                    <m:t>E</m:t>
                  </m:r>
                </m:e>
                <m:sub>
                  <m:r>
                    <w:rPr>
                      <w:rFonts w:ascii="Cambria Math" w:hAnsi="Cambria Math" w:cs="Times New Roman"/>
                    </w:rPr>
                    <m:t>2</m:t>
                  </m:r>
                </m:sub>
              </m:sSub>
            </m:oMath>
            <w:r w:rsidR="00C51078">
              <w:t xml:space="preserve"> = 2</w:t>
            </w:r>
          </w:p>
        </w:tc>
      </w:tr>
    </w:tbl>
    <w:p w:rsidR="00104DC1" w:rsidRDefault="00C51078">
      <w:bookmarkStart w:id="0" w:name="_GoBack"/>
      <w:bookmarkEnd w:id="0"/>
    </w:p>
    <w:sectPr w:rsidR="00104DC1" w:rsidSect="00373B2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70"/>
    <w:rsid w:val="00373B2A"/>
    <w:rsid w:val="006A46BD"/>
    <w:rsid w:val="00936155"/>
    <w:rsid w:val="00B0014A"/>
    <w:rsid w:val="00B70CEA"/>
    <w:rsid w:val="00C51078"/>
    <w:rsid w:val="00CD3670"/>
    <w:rsid w:val="00FC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E954"/>
  <w15:chartTrackingRefBased/>
  <w15:docId w15:val="{97AEF52B-D28E-4755-BB82-9C0F6E73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2</cp:revision>
  <dcterms:created xsi:type="dcterms:W3CDTF">2021-01-06T18:20:00Z</dcterms:created>
  <dcterms:modified xsi:type="dcterms:W3CDTF">2021-01-06T18:48:00Z</dcterms:modified>
</cp:coreProperties>
</file>