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7.png" ContentType="image/png"/>
  <Override PartName="/word/media/rId30.png" ContentType="image/png"/>
  <Override PartName="/word/media/rId31.png" ContentType="image/png"/>
  <Override PartName="/word/media/rId33.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7/17/2020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t xml:space="preserve">(</w:t>
      </w:r>
      <w:r>
        <w:rPr>
          <w:b/>
        </w:rPr>
        <w:t xml:space="preserve">???</w:t>
      </w:r>
      <w:r>
        <w:t xml:space="preserve">)</w:t>
      </w:r>
      <w:r>
        <w:t xml:space="preserve">. In recognition of the impact anglers have on freshwater fish communities, ecosystem-based management, adaptive management, and safe operating spaces have all been invoked in an effort to better manage freshwater resources. In order to successfully manage fish populations, management must account for the intricate dyanmics of multiple species that are targeted in recretaional fishing</w:t>
      </w:r>
      <w:r>
        <w:t xml:space="preserve"> </w:t>
      </w:r>
      <w:r>
        <w:t xml:space="preserve">(</w:t>
      </w:r>
      <w:r>
        <w:rPr>
          <w:b/>
        </w:rPr>
        <w:t xml:space="preserve">???</w:t>
      </w:r>
      <w:r>
        <w:t xml:space="preserve">)</w:t>
      </w:r>
      <w:r>
        <w:t xml:space="preserve">.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w:t>
      </w:r>
      <w:r>
        <w:t xml:space="preserve"> </w:t>
      </w:r>
      <w:r>
        <w:t xml:space="preserve">(</w:t>
      </w:r>
      <w:r>
        <w:rPr>
          <w:b/>
        </w:rPr>
        <w:t xml:space="preserve">???</w:t>
      </w:r>
      <w:r>
        <w:t xml:space="preserve">)</w:t>
      </w:r>
      <w:r>
        <w:t xml:space="preserve">.</w:t>
      </w:r>
    </w:p>
    <w:p>
      <w:pPr>
        <w:pStyle w:val="BodyText"/>
      </w:pPr>
      <w:r>
        <w:t xml:space="preserve">Regime shifts are likely to have drastic impacts on aquatic systems and the recreational fisheries that rely on these systems. Increasingly, efforts have been made to incorporate ecosystem states and regime shifts into fisheries management</w:t>
      </w:r>
      <w:r>
        <w:t xml:space="preserve"> </w:t>
      </w:r>
      <w:r>
        <w:t xml:space="preserve">(</w:t>
      </w:r>
      <w:r>
        <w:rPr>
          <w:b/>
        </w:rPr>
        <w:t xml:space="preserve">???</w:t>
      </w:r>
      <w:r>
        <w:t xml:space="preserve">)</w:t>
      </w:r>
      <w:r>
        <w:t xml:space="preserve">.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Management of ecologically driven regime shifts tend to focus on identifying the underlying cause of change, and, in many cases, adapting to those changes</w:t>
      </w:r>
      <w:r>
        <w:t xml:space="preserve"> </w:t>
      </w:r>
      <w:r>
        <w:rPr>
          <w:b/>
        </w:rPr>
        <w:t xml:space="preserve">citation</w:t>
      </w:r>
      <w:r>
        <w:t xml:space="preserve"> </w:t>
      </w:r>
      <w:r>
        <w:t xml:space="preserve">or mitigating the effects of those changes through increased systemic resilience</w:t>
      </w:r>
      <w:r>
        <w:t xml:space="preserve"> </w:t>
      </w:r>
      <w:r>
        <w:rPr>
          <w:b/>
        </w:rPr>
        <w:t xml:space="preserve">citation</w:t>
      </w:r>
      <w:r>
        <w:t xml:space="preserve">. While increased resilience has been shown to decrease the likelihood of rapid shifts in the stable state of a system</w:t>
      </w:r>
      <w:r>
        <w:t xml:space="preserve"> </w:t>
      </w:r>
      <w:r>
        <w:t xml:space="preserve">(</w:t>
      </w:r>
      <w:r>
        <w:rPr>
          <w:b/>
        </w:rPr>
        <w:t xml:space="preserve">???</w:t>
      </w:r>
      <w:r>
        <w:t xml:space="preserve">)</w:t>
      </w:r>
      <w:r>
        <w:t xml:space="preserve">, many of these regime shifts are initiated by drivers that are not ecologically-driven. One such driver, harvest driven regime shifts, are of particular interest in fisheries systems</w:t>
      </w:r>
      <w:r>
        <w:t xml:space="preserve"> </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w:t>
      </w:r>
    </w:p>
    <w:p>
      <w:pPr>
        <w:pStyle w:val="BodyText"/>
      </w:pPr>
      <w:r>
        <w:t xml:space="preserve">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w:t>
      </w:r>
      <w:r>
        <w:t xml:space="preserve"> </w:t>
      </w:r>
      <w:r>
        <w:t xml:space="preserve">(</w:t>
      </w:r>
      <w:r>
        <w:rPr>
          <w:b/>
        </w:rPr>
        <w:t xml:space="preserve">???</w:t>
      </w:r>
      <w:r>
        <w:t xml:space="preserve">)</w:t>
      </w:r>
      <w:r>
        <w:t xml:space="preserve">.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base-model"/>
      <w:r>
        <w:t xml:space="preserve">Base model</w:t>
      </w:r>
      <w:bookmarkEnd w:id="23"/>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4" w:name="simulations"/>
      <w:r>
        <w:t xml:space="preserve">Simulations</w:t>
      </w:r>
      <w:bookmarkEnd w:id="24"/>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 We varied management measures of stocking and harvest rate within the system in order to understand the impact of management on the maintenance of alternate stable states. 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Stocking takes the form of a yearly addition of a number juveniles to the system. Harvest rate control in our model is done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 Simulation were run in order to look at the magnitude of management intervention necessary to maintain or alter the state of a system.</w:t>
      </w:r>
    </w:p>
    <w:p>
      <w:pPr>
        <w:pStyle w:val="TableCaption"/>
      </w:pPr>
      <w:r>
        <w:t xml:space="preserve">Paramater Values</w:t>
      </w:r>
    </w:p>
    <w:tbl>
      <w:tblPr>
        <w:tblStyle w:val="Table"/>
        <w:tblW w:type="pct" w:w="0.0"/>
        <w:tblLook w:firstRow="1"/>
        <w:tblCaption w:val="Paramater Valu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r>
      <w:tr>
        <w:tc>
          <w:p>
            <w:pPr>
              <w:pStyle w:val="Compact"/>
              <w:jc w:val="left"/>
            </w:pPr>
            <w:r>
              <w:t xml:space="preserve">s1</w:t>
            </w:r>
          </w:p>
        </w:tc>
        <w:tc>
          <w:p>
            <w:pPr>
              <w:pStyle w:val="Compact"/>
              <w:jc w:val="right"/>
            </w:pPr>
            <w:r>
              <w:t xml:space="preserve">0.100</w:t>
            </w:r>
          </w:p>
        </w:tc>
      </w:tr>
      <w:tr>
        <w:tc>
          <w:p>
            <w:pPr>
              <w:pStyle w:val="Compact"/>
              <w:jc w:val="left"/>
            </w:pPr>
            <w:r>
              <w:t xml:space="preserve">cJ1A1</w:t>
            </w:r>
          </w:p>
        </w:tc>
        <w:tc>
          <w:p>
            <w:pPr>
              <w:pStyle w:val="Compact"/>
              <w:jc w:val="right"/>
            </w:pPr>
            <w:r>
              <w:t xml:space="preserve">0.002</w:t>
            </w:r>
          </w:p>
        </w:tc>
      </w:tr>
      <w:tr>
        <w:tc>
          <w:p>
            <w:pPr>
              <w:pStyle w:val="Compact"/>
              <w:jc w:val="left"/>
            </w:pPr>
            <w:r>
              <w:t xml:space="preserve">cJ1A2</w:t>
            </w:r>
          </w:p>
        </w:tc>
        <w:tc>
          <w:p>
            <w:pPr>
              <w:pStyle w:val="Compact"/>
              <w:jc w:val="right"/>
            </w:pPr>
            <w:r>
              <w:t xml:space="preserve">0.500</w:t>
            </w:r>
          </w:p>
        </w:tc>
      </w:tr>
      <w:tr>
        <w:tc>
          <w:p>
            <w:pPr>
              <w:pStyle w:val="Compact"/>
              <w:jc w:val="left"/>
            </w:pPr>
            <w:r>
              <w:t xml:space="preserve">cJ1J2</w:t>
            </w:r>
          </w:p>
        </w:tc>
        <w:tc>
          <w:p>
            <w:pPr>
              <w:pStyle w:val="Compact"/>
              <w:jc w:val="right"/>
            </w:pPr>
            <w:r>
              <w:t xml:space="preserve">0.003</w:t>
            </w:r>
          </w:p>
        </w:tc>
      </w:tr>
      <w:tr>
        <w:tc>
          <w:p>
            <w:pPr>
              <w:pStyle w:val="Compact"/>
              <w:jc w:val="left"/>
            </w:pPr>
            <w:r>
              <w:t xml:space="preserve">v1</w:t>
            </w:r>
          </w:p>
        </w:tc>
        <w:tc>
          <w:p>
            <w:pPr>
              <w:pStyle w:val="Compact"/>
              <w:jc w:val="right"/>
            </w:pPr>
            <w:r>
              <w:t xml:space="preserve">1.000</w:t>
            </w:r>
          </w:p>
        </w:tc>
      </w:tr>
      <w:tr>
        <w:tc>
          <w:p>
            <w:pPr>
              <w:pStyle w:val="Compact"/>
              <w:jc w:val="left"/>
            </w:pPr>
            <w:r>
              <w:t xml:space="preserve">f1</w:t>
            </w:r>
          </w:p>
        </w:tc>
        <w:tc>
          <w:p>
            <w:pPr>
              <w:pStyle w:val="Compact"/>
              <w:jc w:val="right"/>
            </w:pPr>
            <w:r>
              <w:t xml:space="preserve">2.000</w:t>
            </w:r>
          </w:p>
        </w:tc>
      </w:tr>
      <w:tr>
        <w:tc>
          <w:p>
            <w:pPr>
              <w:pStyle w:val="Compact"/>
              <w:jc w:val="left"/>
            </w:pPr>
            <w:r>
              <w:t xml:space="preserve">s2</w:t>
            </w:r>
          </w:p>
        </w:tc>
        <w:tc>
          <w:p>
            <w:pPr>
              <w:pStyle w:val="Compact"/>
              <w:jc w:val="right"/>
            </w:pPr>
            <w:r>
              <w:t xml:space="preserve">0.100</w:t>
            </w:r>
          </w:p>
        </w:tc>
      </w:tr>
      <w:tr>
        <w:tc>
          <w:p>
            <w:pPr>
              <w:pStyle w:val="Compact"/>
              <w:jc w:val="left"/>
            </w:pPr>
            <w:r>
              <w:t xml:space="preserve">cJ2A2</w:t>
            </w:r>
          </w:p>
        </w:tc>
        <w:tc>
          <w:p>
            <w:pPr>
              <w:pStyle w:val="Compact"/>
              <w:jc w:val="right"/>
            </w:pPr>
            <w:r>
              <w:t xml:space="preserve">0.002</w:t>
            </w:r>
          </w:p>
        </w:tc>
      </w:tr>
      <w:tr>
        <w:tc>
          <w:p>
            <w:pPr>
              <w:pStyle w:val="Compact"/>
              <w:jc w:val="left"/>
            </w:pPr>
            <w:r>
              <w:t xml:space="preserve">cJ2A1</w:t>
            </w:r>
          </w:p>
        </w:tc>
        <w:tc>
          <w:p>
            <w:pPr>
              <w:pStyle w:val="Compact"/>
              <w:jc w:val="right"/>
            </w:pPr>
            <w:r>
              <w:t xml:space="preserve">0.500</w:t>
            </w:r>
          </w:p>
        </w:tc>
      </w:tr>
      <w:tr>
        <w:tc>
          <w:p>
            <w:pPr>
              <w:pStyle w:val="Compact"/>
              <w:jc w:val="left"/>
            </w:pPr>
            <w:r>
              <w:t xml:space="preserve">cJ2J1</w:t>
            </w:r>
          </w:p>
        </w:tc>
        <w:tc>
          <w:p>
            <w:pPr>
              <w:pStyle w:val="Compact"/>
              <w:jc w:val="right"/>
            </w:pPr>
            <w:r>
              <w:t xml:space="preserve">0.003</w:t>
            </w:r>
          </w:p>
        </w:tc>
      </w:tr>
      <w:tr>
        <w:tc>
          <w:p>
            <w:pPr>
              <w:pStyle w:val="Compact"/>
              <w:jc w:val="left"/>
            </w:pPr>
            <w:r>
              <w:t xml:space="preserve">v2</w:t>
            </w:r>
          </w:p>
        </w:tc>
        <w:tc>
          <w:p>
            <w:pPr>
              <w:pStyle w:val="Compact"/>
              <w:jc w:val="right"/>
            </w:pPr>
            <w:r>
              <w:t xml:space="preserve">1.000</w:t>
            </w:r>
          </w:p>
        </w:tc>
      </w:tr>
      <w:tr>
        <w:tc>
          <w:p>
            <w:pPr>
              <w:pStyle w:val="Compact"/>
              <w:jc w:val="left"/>
            </w:pPr>
            <w:r>
              <w:t xml:space="preserve">f2</w:t>
            </w:r>
          </w:p>
        </w:tc>
        <w:tc>
          <w:p>
            <w:pPr>
              <w:pStyle w:val="Compact"/>
              <w:jc w:val="right"/>
            </w:pPr>
            <w:r>
              <w:t xml:space="preserve">2.000</w:t>
            </w:r>
          </w:p>
        </w:tc>
      </w:tr>
    </w:tbl>
    <w:p>
      <w:pPr>
        <w:pStyle w:val="Heading1"/>
      </w:pPr>
      <w:bookmarkStart w:id="25" w:name="results"/>
      <w:r>
        <w:t xml:space="preserve">Results</w:t>
      </w:r>
      <w:bookmarkEnd w:id="25"/>
    </w:p>
    <w:p>
      <w:pPr>
        <w:pStyle w:val="Heading3"/>
      </w:pPr>
      <w:bookmarkStart w:id="26" w:name="base-model-behavior"/>
      <w:r>
        <w:t xml:space="preserve">Base Model Behavior</w:t>
      </w:r>
      <w:bookmarkEnd w:id="26"/>
    </w:p>
    <w:p>
      <w:pPr>
        <w:pStyle w:val="FirstParagraph"/>
      </w:pPr>
      <w:r>
        <w:t xml:space="preserve">This model shows the presence of alternative stable states (Figure 1) occuring with dominance of species 1 and species 2 based on initial conditions. When initial abundance of species 1 is high and species 2 is low, low harvest will maintain high abundance of species 1 and low abundance of species 2 (when harvest of species 2 remains constant). At high harvest of species 1, eventually the model results in functional extinction of species 1, while maintaining a moderate abundance of species 2. However, when we alternate these (species 2 is initially dominant), we find that even low levels of harvest of species 1 result in functional extinction of species 1, and maintentance of species 2 (again with harvest of species 2 remaining constant).</w:t>
      </w:r>
    </w:p>
    <w:p>
      <w:pPr>
        <w:pStyle w:val="CaptionedFigure"/>
      </w:pPr>
      <w:r>
        <w:drawing>
          <wp:inline>
            <wp:extent cx="4620126" cy="3696101"/>
            <wp:effectExtent b="0" l="0" r="0" t="0"/>
            <wp:docPr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MultSpp_Q2_Hysteresis_and_Managemen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pPr>
        <w:pStyle w:val="Heading3"/>
      </w:pPr>
      <w:bookmarkStart w:id="28" w:name="impact-of-stocking-on-system-dynamics"/>
      <w:r>
        <w:t xml:space="preserve">Impact of stocking on system dynamics</w:t>
      </w:r>
      <w:bookmarkEnd w:id="28"/>
    </w:p>
    <w:p>
      <w:pPr>
        <w:pStyle w:val="FirstParagraph"/>
      </w:pPr>
      <w:r>
        <w:t xml:space="preserve">At low levels of stocking of Species 1, increased harvest resulted in dominance of Species 2. However, when stocking was increased, dominance of Species 1 also increased (Figure 2). In model simulations in which Species 1 initially dominated in the system, low levels of stocking were all that were necessary to maintain the stable state of Species 1 dominance. Here, we found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we found that the presence of hysteresis resulted in higher levels of stocking necessary in order to result in that shift in stable state. These results indicate that in order to manipulate the stable state of a system, it may be necessary to increase the magnitude of the stocking intervention.</w:t>
      </w:r>
    </w:p>
    <w:p>
      <w:pPr>
        <w:pStyle w:val="Heading3"/>
      </w:pPr>
      <w:bookmarkStart w:id="29" w:name="impact-of-managment-on-system-dyanmics"/>
      <w:r>
        <w:t xml:space="preserve">Impact of Managment on system dyanmics</w:t>
      </w:r>
      <w:bookmarkEnd w:id="29"/>
    </w:p>
    <w:p>
      <w:pPr>
        <w:pStyle w:val="Compact"/>
        <w:numPr>
          <w:numId w:val="1001"/>
          <w:ilvl w:val="0"/>
        </w:numPr>
      </w:pPr>
      <w:r>
        <w:t xml:space="preserve">optimal strategy and magnitude</w:t>
      </w:r>
      <w:r>
        <w:br/>
      </w:r>
    </w:p>
    <w:p>
      <w:pPr>
        <w:pStyle w:val="Compact"/>
        <w:numPr>
          <w:numId w:val="1001"/>
          <w:ilvl w:val="0"/>
        </w:numPr>
      </w:pPr>
      <w:r>
        <w:t xml:space="preserve">influence of hysteresis</w:t>
      </w:r>
    </w:p>
    <w:p>
      <w:pPr>
        <w:pStyle w:val="CaptionedFigure"/>
      </w:pPr>
      <w:r>
        <w:drawing>
          <wp:inline>
            <wp:extent cx="4620126" cy="3696101"/>
            <wp:effectExtent b="0" l="0" r="0" t="0"/>
            <wp:docPr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title="" id="1" name="Picture"/>
            <a:graphic>
              <a:graphicData uri="http://schemas.openxmlformats.org/drawingml/2006/picture">
                <pic:pic>
                  <pic:nvPicPr>
                    <pic:cNvPr descr="MultSpp_Q2_Hysteresis_and_Management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pPr>
        <w:pStyle w:val="CaptionedFigure"/>
      </w:pPr>
      <w:r>
        <w:drawing>
          <wp:inline>
            <wp:extent cx="4620126" cy="3696101"/>
            <wp:effectExtent b="0" l="0" r="0" t="0"/>
            <wp:docPr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title="" id="1" name="Picture"/>
            <a:graphic>
              <a:graphicData uri="http://schemas.openxmlformats.org/drawingml/2006/picture">
                <pic:pic>
                  <pic:nvPicPr>
                    <pic:cNvPr descr="MultSpp_Q2_Hysteresis_and_Managemen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pPr>
        <w:pStyle w:val="Heading3"/>
      </w:pPr>
      <w:bookmarkStart w:id="32" w:name="X2bb03a3b090cfc3da89126fcac5f2e099357bff"/>
      <w:r>
        <w:t xml:space="preserve">Optimal Strategies/management and stocking</w:t>
      </w:r>
      <w:bookmarkEnd w:id="32"/>
    </w:p>
    <w:p>
      <w:pPr>
        <w:pStyle w:val="FirstParagraph"/>
      </w:pPr>
      <w:r>
        <w:t xml:space="preserve">When we model the combination of stocking and harvest control on the system, we find evidence that taking into account the hysteretic behavior of these systems dramatically alters what management actions are necessary to either keep a system in a desired state (Fig 2. a &amp; c) or flip a system into a desirable state (Fig 2. b &amp; d).</w:t>
      </w:r>
    </w:p>
    <w:p>
      <w:pPr>
        <w:pStyle w:val="CaptionedFigure"/>
      </w:pPr>
      <w:r>
        <w:drawing>
          <wp:inline>
            <wp:extent cx="4620126" cy="3696101"/>
            <wp:effectExtent b="0" l="0" r="0" t="0"/>
            <wp:docPr descr="Figure X. System dynamics over a range of management interventions, including both stocking and harvest. Solid lines indicate no stocking, long dashes indicate stocking of species 1, short dashes indicate stocking of species 2." title="" id="1" name="Picture"/>
            <a:graphic>
              <a:graphicData uri="http://schemas.openxmlformats.org/drawingml/2006/picture">
                <pic:pic>
                  <pic:nvPicPr>
                    <pic:cNvPr descr="MultSpp_Q2_Hysteresis_and_Managemen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System dynamics over a range of management interventions, including both stocking and harvest. Solid lines indicate no stocking, long dashes indicate stocking of species 1, short dashes indicate stocking of species 2.</w:t>
      </w:r>
    </w:p>
    <w:p>
      <w:pPr>
        <w:pStyle w:val="Heading1"/>
      </w:pPr>
      <w:bookmarkStart w:id="34" w:name="discussion"/>
      <w:r>
        <w:t xml:space="preserve">Discussion</w:t>
      </w:r>
      <w:bookmarkEnd w:id="34"/>
    </w:p>
    <w:p>
      <w:pPr>
        <w:pStyle w:val="FirstParagraph"/>
      </w:pPr>
      <w:r>
        <w:t xml:space="preserve">Here, we found evidence that the hysteretic behavior that characterizes the transition between states plays an important role in determining what level of management action is necessary to acheive a manager’s goals. Our models which include and exclude hysteresis generally show that when we assme those dynamics are absent from the system we will underestimate the magnitude of action necessary to either maintain or flip a system. These results highlight the importance of understanding the ecological interactions of fishes in a multispecies fishery. Further, our results indicate the importance of ecosystem-based multi-species management in systems where multiple species are targeted by recreational anglers.</w:t>
      </w:r>
    </w:p>
    <w:p>
      <w:pPr>
        <w:pStyle w:val="BodyText"/>
      </w:pPr>
      <w:r>
        <w:t xml:space="preserve">Impact of hysteresis in our model</w:t>
      </w:r>
      <w:r>
        <w:br/>
      </w:r>
      <w:r>
        <w:t xml:space="preserve">How timing of management and stocking are important factors to consider.</w:t>
      </w:r>
      <w:r>
        <w:br/>
      </w:r>
      <w:r>
        <w:t xml:space="preserve">extrapolate to freshwater fish dynamics</w:t>
      </w:r>
      <w:r>
        <w:br/>
      </w:r>
      <w:r>
        <w:t xml:space="preserve">* How our model is/is not a good representation of freshwater systems</w:t>
      </w:r>
      <w:r>
        <w:t xml:space="preserve"> </w:t>
      </w:r>
      <w:r>
        <w:t xml:space="preserve">+ Right now the parameter values, abundances, harvest and stocking rates, etc. are pretty abstract. We can still do more to ground this.</w:t>
      </w:r>
      <w:r>
        <w:t xml:space="preserve"> </w:t>
      </w:r>
      <w:r>
        <w:t xml:space="preserve">+ The effect of refuge on model dynamics isn’t as strong as the effect of stocking or harvesting, maybe we should’ve expected this?</w:t>
      </w:r>
      <w:r>
        <w:t xml:space="preserve"> </w:t>
      </w:r>
      <w:r>
        <w:t xml:space="preserve">* What is missing from our model.</w:t>
      </w:r>
      <w:r>
        <w:br/>
      </w:r>
      <w:r>
        <w:t xml:space="preserve">+ Fishing effort is controlled externally, it’s not responsive to changes in catch rate. It’s maybe not important to add in just to note that the model is set up this way (in q3 we change this and allow effort to respond to abundance within the model)</w:t>
      </w:r>
    </w:p>
    <w:p>
      <w:pPr>
        <w:pStyle w:val="BodyText"/>
      </w:pPr>
      <w:r>
        <w:t xml:space="preserve">Optimal Management Strategies</w:t>
      </w:r>
      <w:r>
        <w:br/>
      </w:r>
      <w:r>
        <w:t xml:space="preserve">* What did we learn from comparing stocking and controlling harvest?</w:t>
      </w:r>
      <w:r>
        <w:br/>
      </w:r>
      <w:r>
        <w:t xml:space="preserve">* Management implications - do we use models like this to identify</w:t>
      </w:r>
      <w:r>
        <w:t xml:space="preserve"> </w:t>
      </w:r>
      <w:r>
        <w:t xml:space="preserve">‘</w:t>
      </w:r>
      <w:r>
        <w:t xml:space="preserve">Early Warning Signs</w:t>
      </w:r>
      <w:r>
        <w:t xml:space="preserve">’</w:t>
      </w:r>
      <w:r>
        <w:t xml:space="preserve"> </w:t>
      </w:r>
      <w:r>
        <w:t xml:space="preserve">of potential regime shift?</w:t>
      </w:r>
      <w:r>
        <w:t xml:space="preserve"> </w:t>
      </w:r>
      <w:r>
        <w:t xml:space="preserve">(</w:t>
      </w:r>
      <w:r>
        <w:rPr>
          <w:b/>
        </w:rPr>
        <w:t xml:space="preserve">???</w:t>
      </w:r>
      <w:r>
        <w:t xml:space="preserve">)</w:t>
      </w:r>
      <w:r>
        <w:t xml:space="preserve">.</w:t>
      </w:r>
    </w:p>
    <w:p>
      <w:pPr>
        <w:pStyle w:val="BodyText"/>
      </w:pPr>
      <w:r>
        <w:t xml:space="preserve">How can this be used by managers</w:t>
      </w:r>
      <w:r>
        <w:br/>
      </w:r>
      <w:r>
        <w:t xml:space="preserve">* Strategies for maintaining a desired stable state</w:t>
      </w:r>
    </w:p>
    <w:p>
      <w:pPr>
        <w:pStyle w:val="BodyText"/>
      </w:pPr>
      <w:r>
        <w:t xml:space="preserve">Future work</w:t>
      </w:r>
      <w:r>
        <w:br/>
      </w:r>
      <w:r>
        <w:t xml:space="preserve">* Ground truth this model with empirical data</w:t>
      </w:r>
      <w:r>
        <w:br/>
      </w:r>
      <w:r>
        <w:t xml:space="preserve">* Think about how angler dynamics can impact fisheries outcomes</w:t>
      </w:r>
      <w:r>
        <w:br/>
      </w:r>
      <w:r>
        <w:rPr>
          <w:i/>
        </w:rPr>
        <w:t xml:space="preserve">I’m just adding these to show that the need to understand these is there (and to put a plug for our other two papers)</w:t>
      </w:r>
      <w:r>
        <w:br/>
      </w:r>
      <w:r>
        <w:t xml:space="preserve">Conclusions</w:t>
      </w:r>
    </w:p>
    <w:p>
      <w:pPr>
        <w:pStyle w:val="Heading1"/>
      </w:pPr>
      <w:bookmarkStart w:id="35" w:name="references"/>
      <w:r>
        <w:t xml:space="preserve">References</w:t>
      </w:r>
      <w:bookmarkEnd w:id="35"/>
    </w:p>
    <w:p>
      <w:pPr>
        <w:pStyle w:val="Heading1"/>
      </w:pPr>
      <w:bookmarkStart w:id="36" w:name="supplemental"/>
      <w:r>
        <w:t xml:space="preserve">Supplemental</w:t>
      </w:r>
      <w:bookmarkEnd w:id="36"/>
    </w:p>
    <w:p>
      <w:pPr>
        <w:pStyle w:val="Heading1"/>
      </w:pPr>
      <w:bookmarkStart w:id="37" w:name="figure-graveyard"/>
      <w:r>
        <w:t xml:space="preserve">Figure graveyard</w:t>
      </w:r>
      <w:bookmarkEnd w:id="37"/>
    </w:p>
    <w:p>
      <w:pPr>
        <w:pStyle w:val="CaptionedFigure"/>
      </w:pPr>
      <w:r>
        <w:drawing>
          <wp:inline>
            <wp:extent cx="4620126" cy="3696101"/>
            <wp:effectExtent b="0" l="0" r="0" t="0"/>
            <wp:docPr descr="Figure 2. Temporal influence of management interventions. Intervention to stop harvest one year too late can allow for regime shift to undesired state" title="" id="1" name="Picture"/>
            <a:graphic>
              <a:graphicData uri="http://schemas.openxmlformats.org/drawingml/2006/picture">
                <pic:pic>
                  <pic:nvPicPr>
                    <pic:cNvPr descr="MultSpp_Q2_Hysteresis_and_Management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Temporal influence of management interventions. Intervention to stop harvest one year too late can allow for regime shift to undesired state</w:t>
      </w:r>
    </w:p>
    <w:p>
      <w:pPr>
        <w:pStyle w:val="CaptionedFigure"/>
      </w:pPr>
      <w:r>
        <w:drawing>
          <wp:inline>
            <wp:extent cx="4620126" cy="3696101"/>
            <wp:effectExtent b="0" l="0" r="0" t="0"/>
            <wp:docPr descr="Figure 3. Effect of stocking at different harvest rates. (a) with hysteresis, (b) without hysteresis" title="" id="1" name="Picture"/>
            <a:graphic>
              <a:graphicData uri="http://schemas.openxmlformats.org/drawingml/2006/picture">
                <pic:pic>
                  <pic:nvPicPr>
                    <pic:cNvPr descr="MultSpp_Q2_Hysteresis_and_Management_files/figure-docx/cache==TRU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Effect of stocking at different harvest rates. (a) with hysteresis, (b) without hysteresis</w:t>
      </w:r>
    </w:p>
    <w:p>
      <w:pPr>
        <w:pStyle w:val="CaptionedFigure"/>
      </w:pPr>
      <w:r>
        <w:drawing>
          <wp:inline>
            <wp:extent cx="4620126" cy="3696101"/>
            <wp:effectExtent b="0" l="0" r="0" t="0"/>
            <wp:docPr descr="Figure 1. Basic model behavior. When species are equal in all interactions, alternate stable states can be produced by through harvest. The stable state will depend on the combination of harvest rate and the species with the higher initial abundance." title="" id="1" name="Picture"/>
            <a:graphic>
              <a:graphicData uri="http://schemas.openxmlformats.org/drawingml/2006/picture">
                <pic:pic>
                  <pic:nvPicPr>
                    <pic:cNvPr descr="MultSpp_Q2_Hysteresis_and_Management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Basic model behavior. When species are equal in all interactions, alternate stable states can be produced by through harvest. The stable state will depend on the combination of harvest rate and the species with the higher initial abundance.</w:t>
      </w:r>
    </w:p>
    <w:bookmarkStart w:id="61" w:name="refs"/>
    <w:bookmarkStart w:id="42"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41">
        <w:r>
          <w:rPr>
            <w:rStyle w:val="Hyperlink"/>
          </w:rPr>
          <w:t xml:space="preserve">https://doi.org/10.1073/pnas.0811729106</w:t>
        </w:r>
      </w:hyperlink>
      <w:r>
        <w:t xml:space="preserve">.</w:t>
      </w:r>
    </w:p>
    <w:bookmarkEnd w:id="42"/>
    <w:bookmarkStart w:id="44"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43">
        <w:r>
          <w:rPr>
            <w:rStyle w:val="Hyperlink"/>
          </w:rPr>
          <w:t xml:space="preserve">https://doi.org/10.1007/s12080-010-0102-0</w:t>
        </w:r>
      </w:hyperlink>
      <w:r>
        <w:t xml:space="preserve">.</w:t>
      </w:r>
    </w:p>
    <w:bookmarkEnd w:id="44"/>
    <w:bookmarkStart w:id="46"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45">
        <w:r>
          <w:rPr>
            <w:rStyle w:val="Hyperlink"/>
          </w:rPr>
          <w:t xml:space="preserve">https://doi.org/10.1146/annurev.ecolsys.39.110707.173406</w:t>
        </w:r>
      </w:hyperlink>
      <w:r>
        <w:t xml:space="preserve">.</w:t>
      </w:r>
    </w:p>
    <w:bookmarkEnd w:id="46"/>
    <w:bookmarkStart w:id="48"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47">
        <w:r>
          <w:rPr>
            <w:rStyle w:val="Hyperlink"/>
          </w:rPr>
          <w:t xml:space="preserve">https://doi.org/doi:10.1093/icesjms/fsu242</w:t>
        </w:r>
      </w:hyperlink>
      <w:r>
        <w:t xml:space="preserve">.</w:t>
      </w:r>
    </w:p>
    <w:bookmarkEnd w:id="48"/>
    <w:bookmarkStart w:id="50"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49">
        <w:r>
          <w:rPr>
            <w:rStyle w:val="Hyperlink"/>
          </w:rPr>
          <w:t xml:space="preserve">https://doi.org/10.1016/j.ecolmodel.2014.09.010</w:t>
        </w:r>
      </w:hyperlink>
      <w:r>
        <w:t xml:space="preserve">.</w:t>
      </w:r>
    </w:p>
    <w:bookmarkEnd w:id="50"/>
    <w:bookmarkStart w:id="52"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51">
        <w:r>
          <w:rPr>
            <w:rStyle w:val="Hyperlink"/>
          </w:rPr>
          <w:t xml:space="preserve">https://doi.org/doi:10.1093/icesjms/fsw074 Original</w:t>
        </w:r>
      </w:hyperlink>
      <w:r>
        <w:t xml:space="preserve">.</w:t>
      </w:r>
    </w:p>
    <w:bookmarkEnd w:id="52"/>
    <w:bookmarkStart w:id="54"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53">
        <w:r>
          <w:rPr>
            <w:rStyle w:val="Hyperlink"/>
          </w:rPr>
          <w:t xml:space="preserve">https://doi.org/10.1577/1548-8446-34.4.165</w:t>
        </w:r>
      </w:hyperlink>
      <w:r>
        <w:t xml:space="preserve">.</w:t>
      </w:r>
    </w:p>
    <w:bookmarkEnd w:id="54"/>
    <w:bookmarkStart w:id="56"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55">
        <w:r>
          <w:rPr>
            <w:rStyle w:val="Hyperlink"/>
          </w:rPr>
          <w:t xml:space="preserve">https://doi.org/10.1016/j.pocean.2004.02.010</w:t>
        </w:r>
      </w:hyperlink>
      <w:r>
        <w:t xml:space="preserve">.</w:t>
      </w:r>
    </w:p>
    <w:bookmarkEnd w:id="56"/>
    <w:bookmarkStart w:id="58"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7">
        <w:r>
          <w:rPr>
            <w:rStyle w:val="Hyperlink"/>
          </w:rPr>
          <w:t xml:space="preserve">https://doi.org/10.1016/0165-7836(95)00440-8</w:t>
        </w:r>
      </w:hyperlink>
      <w:r>
        <w:t xml:space="preserve">.</w:t>
      </w:r>
    </w:p>
    <w:bookmarkEnd w:id="58"/>
    <w:bookmarkStart w:id="60"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59">
        <w:r>
          <w:rPr>
            <w:rStyle w:val="Hyperlink"/>
          </w:rPr>
          <w:t xml:space="preserve">https://doi.org/10.1139/f00-160</w:t>
        </w:r>
      </w:hyperlink>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3" Target="https://doi.org/10.1007/s12080-010-0102-0" TargetMode="External" /><Relationship Type="http://schemas.openxmlformats.org/officeDocument/2006/relationships/hyperlink" Id="rId57" Target="https://doi.org/10.1016/0165-7836(95)00440-8" TargetMode="External" /><Relationship Type="http://schemas.openxmlformats.org/officeDocument/2006/relationships/hyperlink" Id="rId49" Target="https://doi.org/10.1016/j.ecolmodel.2014.09.010" TargetMode="External" /><Relationship Type="http://schemas.openxmlformats.org/officeDocument/2006/relationships/hyperlink" Id="rId55" Target="https://doi.org/10.1016/j.pocean.2004.02.010" TargetMode="External" /><Relationship Type="http://schemas.openxmlformats.org/officeDocument/2006/relationships/hyperlink" Id="rId41" Target="https://doi.org/10.1073/pnas.0811729106" TargetMode="External" /><Relationship Type="http://schemas.openxmlformats.org/officeDocument/2006/relationships/hyperlink" Id="rId59" Target="https://doi.org/10.1139/f00-160" TargetMode="External" /><Relationship Type="http://schemas.openxmlformats.org/officeDocument/2006/relationships/hyperlink" Id="rId45" Target="https://doi.org/10.1146/annurev.ecolsys.39.110707.173406" TargetMode="External" /><Relationship Type="http://schemas.openxmlformats.org/officeDocument/2006/relationships/hyperlink" Id="rId53" Target="https://doi.org/10.1577/1548-8446-34.4.165" TargetMode="External" /><Relationship Type="http://schemas.openxmlformats.org/officeDocument/2006/relationships/hyperlink" Id="rId47" Target="https://doi.org/doi:10.1093/icesjms/fsu242" TargetMode="External" /><Relationship Type="http://schemas.openxmlformats.org/officeDocument/2006/relationships/hyperlink" Id="rId51"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2080-010-0102-0" TargetMode="External" /><Relationship Type="http://schemas.openxmlformats.org/officeDocument/2006/relationships/hyperlink" Id="rId57" Target="https://doi.org/10.1016/0165-7836(95)00440-8" TargetMode="External" /><Relationship Type="http://schemas.openxmlformats.org/officeDocument/2006/relationships/hyperlink" Id="rId49" Target="https://doi.org/10.1016/j.ecolmodel.2014.09.010" TargetMode="External" /><Relationship Type="http://schemas.openxmlformats.org/officeDocument/2006/relationships/hyperlink" Id="rId55" Target="https://doi.org/10.1016/j.pocean.2004.02.010" TargetMode="External" /><Relationship Type="http://schemas.openxmlformats.org/officeDocument/2006/relationships/hyperlink" Id="rId41" Target="https://doi.org/10.1073/pnas.0811729106" TargetMode="External" /><Relationship Type="http://schemas.openxmlformats.org/officeDocument/2006/relationships/hyperlink" Id="rId59" Target="https://doi.org/10.1139/f00-160" TargetMode="External" /><Relationship Type="http://schemas.openxmlformats.org/officeDocument/2006/relationships/hyperlink" Id="rId45" Target="https://doi.org/10.1146/annurev.ecolsys.39.110707.173406" TargetMode="External" /><Relationship Type="http://schemas.openxmlformats.org/officeDocument/2006/relationships/hyperlink" Id="rId53" Target="https://doi.org/10.1577/1548-8446-34.4.165" TargetMode="External" /><Relationship Type="http://schemas.openxmlformats.org/officeDocument/2006/relationships/hyperlink" Id="rId47" Target="https://doi.org/doi:10.1093/icesjms/fsu242" TargetMode="External" /><Relationship Type="http://schemas.openxmlformats.org/officeDocument/2006/relationships/hyperlink" Id="rId51"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2020-08-03T14:56:52Z</dcterms:created>
  <dcterms:modified xsi:type="dcterms:W3CDTF">2020-08-03T14:56:52Z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7/17/2020</vt:lpwstr>
  </property>
  <property fmtid="{D5CDD505-2E9C-101B-9397-08002B2CF9AE}" pid="4" name="editor_options">
    <vt:lpwstr/>
  </property>
  <property fmtid="{D5CDD505-2E9C-101B-9397-08002B2CF9AE}" pid="5" name="output">
    <vt:lpwstr>word_document</vt:lpwstr>
  </property>
</Properties>
</file>