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rsidTr="007411F9">
        <w:trPr>
          <w:trHeight w:val="795"/>
        </w:trPr>
        <w:tc>
          <w:tcPr>
            <w:tcW w:w="4539"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 xml:space="preserve">Parameters </w:t>
            </w:r>
            <w:r>
              <w:rPr>
                <w:b/>
              </w:rPr>
              <w:t>Changed</w:t>
            </w:r>
          </w:p>
        </w:tc>
      </w:tr>
      <w:tr w:rsidR="007411F9" w:rsidTr="007411F9">
        <w:trPr>
          <w:trHeight w:val="1350"/>
        </w:trPr>
        <w:tc>
          <w:tcPr>
            <w:tcW w:w="4539" w:type="dxa"/>
            <w:tcBorders>
              <w:top w:val="single" w:sz="4" w:space="0" w:color="auto"/>
              <w:left w:val="nil"/>
              <w:bottom w:val="nil"/>
              <w:right w:val="nil"/>
            </w:tcBorders>
          </w:tcPr>
          <w:p w:rsidR="007411F9" w:rsidRDefault="007411F9" w:rsidP="007411F9">
            <w:r>
              <w:t>Leveraging Interactions Experiment</w:t>
            </w:r>
          </w:p>
        </w:tc>
        <w:tc>
          <w:tcPr>
            <w:tcW w:w="4540" w:type="dxa"/>
            <w:tcBorders>
              <w:top w:val="single" w:sz="4" w:space="0" w:color="auto"/>
              <w:left w:val="nil"/>
              <w:bottom w:val="nil"/>
              <w:right w:val="nil"/>
            </w:tcBorders>
          </w:tcPr>
          <w:p w:rsidR="007411F9" w:rsidRDefault="007411F9" w:rsidP="007411F9">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7411F9" w:rsidRDefault="00242446"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or 2 respectively</w:t>
            </w:r>
          </w:p>
        </w:tc>
      </w:tr>
      <w:tr w:rsidR="007411F9" w:rsidTr="007411F9">
        <w:trPr>
          <w:trHeight w:val="1877"/>
        </w:trPr>
        <w:tc>
          <w:tcPr>
            <w:tcW w:w="4539" w:type="dxa"/>
            <w:tcBorders>
              <w:top w:val="nil"/>
              <w:left w:val="nil"/>
              <w:bottom w:val="nil"/>
              <w:right w:val="nil"/>
            </w:tcBorders>
          </w:tcPr>
          <w:p w:rsidR="007411F9" w:rsidRDefault="007411F9" w:rsidP="007411F9">
            <w:r>
              <w:t>Alternative Approaches Experiment</w:t>
            </w:r>
          </w:p>
        </w:tc>
        <w:tc>
          <w:tcPr>
            <w:tcW w:w="4540" w:type="dxa"/>
            <w:tcBorders>
              <w:top w:val="nil"/>
              <w:left w:val="nil"/>
              <w:bottom w:val="nil"/>
              <w:right w:val="nil"/>
            </w:tcBorders>
          </w:tcPr>
          <w:p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7411F9" w:rsidRDefault="00242446"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7411F9" w:rsidTr="003804A9">
        <w:trPr>
          <w:trHeight w:val="1908"/>
        </w:trPr>
        <w:tc>
          <w:tcPr>
            <w:tcW w:w="4539" w:type="dxa"/>
            <w:tcBorders>
              <w:top w:val="nil"/>
              <w:left w:val="nil"/>
              <w:bottom w:val="single" w:sz="4" w:space="0" w:color="auto"/>
              <w:right w:val="nil"/>
            </w:tcBorders>
          </w:tcPr>
          <w:p w:rsidR="007411F9" w:rsidRDefault="007411F9" w:rsidP="007411F9">
            <w:r>
              <w:t>Safe Operating Space Experiment</w:t>
            </w:r>
          </w:p>
        </w:tc>
        <w:tc>
          <w:tcPr>
            <w:tcW w:w="4540" w:type="dxa"/>
            <w:tcBorders>
              <w:top w:val="nil"/>
              <w:left w:val="nil"/>
              <w:bottom w:val="single" w:sz="4" w:space="0" w:color="auto"/>
              <w:right w:val="nil"/>
            </w:tcBorders>
          </w:tcPr>
          <w:p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7411F9" w:rsidRDefault="007411F9" w:rsidP="007411F9">
            <w:r>
              <w:t>Panel A: fecundity declines to 1% of its initial value over 100 years</w:t>
            </w:r>
          </w:p>
          <w:p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rsidR="007411F9" w:rsidRDefault="007411F9" w:rsidP="007411F9">
            <w:r>
              <w:t>Panel D: Fecundity declines as above</w:t>
            </w:r>
            <w:r w:rsidRPr="00512D4A">
              <w:t xml:space="preserve">, </w:t>
            </w:r>
            <m:oMath>
              <m:sSub>
                <m:sSubPr>
                  <m:ctrlPr>
                    <w:rPr>
                      <w:rFonts w:ascii="Cambria Math" w:hAnsi="Cambria Math" w:cs="Times New Roman"/>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 xml:space="preserve">15, </w:t>
            </w:r>
            <w:r w:rsidRPr="00512D4A">
              <w:t xml:space="preserve">and </w:t>
            </w:r>
            <m:oMath>
              <m:r>
                <w:rPr>
                  <w:rFonts w:ascii="Cambria Math" w:hAnsi="Cambria Math" w:cs="Times New Roman"/>
                </w:rPr>
                <m:t xml:space="preserve"> 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t xml:space="preserve"> = 2</w:t>
            </w:r>
          </w:p>
        </w:tc>
      </w:tr>
    </w:tbl>
    <w:p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rsidR="00C02C93" w:rsidRPr="00057441" w:rsidRDefault="00C02C93">
      <w:pPr>
        <w:rPr>
          <w:rFonts w:ascii="Times New Roman" w:hAnsi="Times New Roman" w:cs="Times New Roman"/>
        </w:rPr>
      </w:pPr>
      <w:r w:rsidRPr="00057441">
        <w:rPr>
          <w:rFonts w:ascii="Times New Roman" w:hAnsi="Times New Roman" w:cs="Times New Roman"/>
        </w:rPr>
        <w:lastRenderedPageBreak/>
        <w:t>Increases in harvest can drive regime shifts.</w:t>
      </w:r>
    </w:p>
    <w:p w:rsidR="00C02C93" w:rsidRDefault="004F74A3">
      <w:r>
        <w:rPr>
          <w:noProof/>
        </w:rPr>
        <mc:AlternateContent>
          <mc:Choice Requires="wps">
            <w:drawing>
              <wp:anchor distT="0" distB="0" distL="114300" distR="114300" simplePos="0" relativeHeight="251656192" behindDoc="0" locked="0" layoutInCell="1" allowOverlap="1" wp14:anchorId="61F9141C" wp14:editId="2B8564D8">
                <wp:simplePos x="0" y="0"/>
                <wp:positionH relativeFrom="margin">
                  <wp:align>left</wp:align>
                </wp:positionH>
                <wp:positionV relativeFrom="paragraph">
                  <wp:posOffset>4238625</wp:posOffset>
                </wp:positionV>
                <wp:extent cx="4161790" cy="2584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F9141C" id="_x0000_t202" coordsize="21600,21600" o:spt="202" path="m,l,21600r21600,l21600,xe">
                <v:stroke joinstyle="miter"/>
                <v:path gradientshapeok="t" o:connecttype="rect"/>
              </v:shapetype>
              <v:shape id="Text Box 2" o:spid="_x0000_s1026" type="#_x0000_t202" style="position:absolute;margin-left:0;margin-top:333.75pt;width:327.7pt;height:20.3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m9LQIAAGAEAAAOAAAAZHJzL2Uyb0RvYy54bWysVMGO2jAQvVfqP1i+lwBit1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w10:wrap type="topAndBottom" anchorx="margin"/>
              </v:shape>
            </w:pict>
          </mc:Fallback>
        </mc:AlternateContent>
      </w:r>
      <w:r>
        <w:rPr>
          <w:noProof/>
        </w:rPr>
        <w:drawing>
          <wp:inline distT="0" distB="0" distL="0" distR="0" wp14:anchorId="35CF9467" wp14:editId="777D0ED4">
            <wp:extent cx="4161905" cy="4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1905" cy="4142857"/>
                    </a:xfrm>
                    <a:prstGeom prst="rect">
                      <a:avLst/>
                    </a:prstGeom>
                  </pic:spPr>
                </pic:pic>
              </a:graphicData>
            </a:graphic>
          </wp:inline>
        </w:drawing>
      </w:r>
    </w:p>
    <w:p w:rsidR="00C02C93" w:rsidRDefault="00C02C93"/>
    <w:p w:rsidR="009F5919" w:rsidRDefault="009F5919"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lastRenderedPageBreak/>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077B45" w:rsidP="00C02C93">
      <w:pPr>
        <w:rPr>
          <w:rFonts w:ascii="Times New Roman" w:hAnsi="Times New Roman" w:cs="Times New Roman"/>
        </w:rPr>
      </w:pPr>
      <w:r>
        <w:rPr>
          <w:noProof/>
        </w:rPr>
        <w:drawing>
          <wp:inline distT="0" distB="0" distL="0" distR="0" wp14:anchorId="51EC3D4B" wp14:editId="4512B9EA">
            <wp:extent cx="4161905" cy="41428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4142857"/>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4483100</wp:posOffset>
                </wp:positionV>
                <wp:extent cx="4161790" cy="9156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34.5pt;margin-top:353pt;width:327.7pt;height:7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w10:wrap type="topAndBottom"/>
              </v:shape>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642113" w:rsidRDefault="009F5919" w:rsidP="00C02C93">
      <w:r>
        <w:rPr>
          <w:rFonts w:ascii="Times New Roman" w:hAnsi="Times New Roman" w:cs="Times New Roman"/>
        </w:rPr>
        <w:t>Tradeoffs in managing speci</w:t>
      </w:r>
      <w:r w:rsidR="00512D4A">
        <w:rPr>
          <w:rFonts w:ascii="Times New Roman" w:hAnsi="Times New Roman" w:cs="Times New Roman"/>
        </w:rPr>
        <w:t>es 1 or its competitor allow</w:t>
      </w:r>
      <w:r>
        <w:rPr>
          <w:rFonts w:ascii="Times New Roman" w:hAnsi="Times New Roman" w:cs="Times New Roman"/>
        </w:rPr>
        <w:t xml:space="preserv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642113" w:rsidRDefault="00642113" w:rsidP="00C02C93"/>
    <w:p w:rsidR="00642113" w:rsidRDefault="00642113" w:rsidP="00C02C93"/>
    <w:p w:rsidR="00642113" w:rsidRDefault="00642113" w:rsidP="00C02C93"/>
    <w:p w:rsidR="00E13CF0" w:rsidRDefault="001239C7" w:rsidP="00C02C93">
      <w:r>
        <w:rPr>
          <w:noProof/>
        </w:rPr>
        <mc:AlternateContent>
          <mc:Choice Requires="wps">
            <w:drawing>
              <wp:anchor distT="0" distB="0" distL="114300" distR="114300" simplePos="0" relativeHeight="251666432" behindDoc="0" locked="0" layoutInCell="1" allowOverlap="1" wp14:anchorId="4C5B8724" wp14:editId="6E5C3E0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28"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DkM1f4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sidR="0007441A">
        <w:rPr>
          <w:noProof/>
        </w:rPr>
        <w:drawing>
          <wp:inline distT="0" distB="0" distL="0" distR="0" wp14:anchorId="66970C04" wp14:editId="72C35EF1">
            <wp:extent cx="4161905" cy="4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4142857"/>
                    </a:xfrm>
                    <a:prstGeom prst="rect">
                      <a:avLst/>
                    </a:prstGeom>
                  </pic:spPr>
                </pic:pic>
              </a:graphicData>
            </a:graphic>
          </wp:inline>
        </w:drawing>
      </w:r>
    </w:p>
    <w:p w:rsidR="00642113" w:rsidRDefault="00642113" w:rsidP="00C02C93"/>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642113" w:rsidRPr="00057441" w:rsidRDefault="00642113" w:rsidP="00C02C93">
      <w:pPr>
        <w:rPr>
          <w:rFonts w:ascii="Times New Roman" w:hAnsi="Times New Roman" w:cs="Times New Roman"/>
        </w:rPr>
      </w:pPr>
      <w:r w:rsidRPr="00057441">
        <w:rPr>
          <w:rFonts w:ascii="Times New Roman" w:hAnsi="Times New Roman" w:cs="Times New Roman"/>
        </w:rPr>
        <w:lastRenderedPageBreak/>
        <w:t>Sensitivity Analysis</w:t>
      </w:r>
    </w:p>
    <w:p w:rsidR="00642113" w:rsidRPr="00057441"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w:t>
      </w:r>
      <w:r w:rsidR="00512D4A">
        <w:rPr>
          <w:rFonts w:ascii="Times New Roman" w:hAnsi="Times New Roman" w:cs="Times New Roman"/>
          <w:sz w:val="22"/>
          <w:szCs w:val="22"/>
        </w:rPr>
        <w:t>we</w:t>
      </w:r>
      <w:r w:rsidRPr="00057441">
        <w:rPr>
          <w:rFonts w:ascii="Times New Roman" w:hAnsi="Times New Roman" w:cs="Times New Roman"/>
          <w:sz w:val="22"/>
          <w:szCs w:val="22"/>
        </w:rPr>
        <w:t xml:space="preserve">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and fecundity (Ricker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xml:space="preserve">) to see how the effect the occurence of stabe states. </w:t>
      </w:r>
      <w:r w:rsidR="00512D4A">
        <w:rPr>
          <w:rFonts w:ascii="Times New Roman" w:hAnsi="Times New Roman" w:cs="Times New Roman"/>
          <w:sz w:val="22"/>
          <w:szCs w:val="22"/>
        </w:rPr>
        <w:t>We varied only</w:t>
      </w:r>
      <w:r w:rsidRPr="00057441">
        <w:rPr>
          <w:rFonts w:ascii="Times New Roman" w:hAnsi="Times New Roman" w:cs="Times New Roman"/>
          <w:sz w:val="22"/>
          <w:szCs w:val="22"/>
        </w:rPr>
        <w:t xml:space="preserve"> values for species 1 and </w:t>
      </w:r>
      <w:r w:rsidR="00512D4A">
        <w:rPr>
          <w:rFonts w:ascii="Times New Roman" w:hAnsi="Times New Roman" w:cs="Times New Roman"/>
          <w:sz w:val="22"/>
          <w:szCs w:val="22"/>
        </w:rPr>
        <w:t>did not</w:t>
      </w:r>
      <w:r w:rsidRPr="00057441">
        <w:rPr>
          <w:rFonts w:ascii="Times New Roman" w:hAnsi="Times New Roman" w:cs="Times New Roman"/>
          <w:sz w:val="22"/>
          <w:szCs w:val="22"/>
        </w:rPr>
        <w:t xml:space="preserve"> vary any of these parms in combination with each other, only in isolation.</w:t>
      </w:r>
    </w:p>
    <w:p w:rsidR="00FD39CA" w:rsidRDefault="00767FA2" w:rsidP="00FD39CA">
      <w:pPr>
        <w:pStyle w:val="CaptionedFigure"/>
      </w:pPr>
      <w:bookmarkStart w:id="0" w:name="plotsToMove"/>
      <w:r>
        <w:rPr>
          <w:noProof/>
        </w:rPr>
        <w:drawing>
          <wp:inline distT="0" distB="0" distL="0" distR="0" wp14:anchorId="43D55407" wp14:editId="6C47E959">
            <wp:extent cx="4619625" cy="3695700"/>
            <wp:effectExtent l="0" t="0" r="9525" b="0"/>
            <wp:docPr id="7"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1"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pic:cNvPicPr/>
                  </pic:nvPicPr>
                  <pic:blipFill>
                    <a:blip r:embed="rId8"/>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ImageCaption"/>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5</w:t>
      </w:r>
      <w:r w:rsidRPr="00FD39CA">
        <w:rPr>
          <w:color w:val="44546A" w:themeColor="text2"/>
          <w:sz w:val="18"/>
          <w:szCs w:val="18"/>
        </w:rPr>
        <w:fldChar w:fldCharType="end"/>
      </w:r>
      <w:r w:rsidRPr="00FD39CA">
        <w:rPr>
          <w:color w:val="44546A" w:themeColor="text2"/>
          <w:sz w:val="18"/>
          <w:szCs w:val="18"/>
        </w:rPr>
        <w:t>. Juvenile Survival rate. Alternate stable states persist for different values, except the lowest value and only when species 2 is initially dominant (0.05). The range of harvest values over which alternate states occur increases as juvenile survival</w:t>
      </w:r>
      <w:r>
        <w:rPr>
          <w:color w:val="44546A" w:themeColor="text2"/>
          <w:sz w:val="18"/>
          <w:szCs w:val="18"/>
        </w:rPr>
        <w:t xml:space="preserve"> </w:t>
      </w:r>
      <w:r w:rsidRPr="00FD39CA">
        <w:rPr>
          <w:color w:val="44546A" w:themeColor="text2"/>
          <w:sz w:val="18"/>
          <w:szCs w:val="18"/>
        </w:rPr>
        <w:t>increases. Panel A - species 2 initially dominant; Panel B - species 1 initially dominant</w:t>
      </w:r>
      <w:r>
        <w:t>.</w:t>
      </w:r>
    </w:p>
    <w:p w:rsidR="00FD39CA" w:rsidRDefault="00FD39CA" w:rsidP="00FD39CA">
      <w:pPr>
        <w:pStyle w:val="Caption"/>
      </w:pPr>
    </w:p>
    <w:p w:rsidR="00FD39CA" w:rsidRDefault="00767FA2" w:rsidP="00FD39CA">
      <w:pPr>
        <w:pStyle w:val="CaptionedFigure"/>
      </w:pPr>
      <w:r>
        <w:rPr>
          <w:noProof/>
        </w:rPr>
        <w:lastRenderedPageBreak/>
        <w:drawing>
          <wp:inline distT="0" distB="0" distL="0" distR="0" wp14:anchorId="6C974431" wp14:editId="1D604ED4">
            <wp:extent cx="4619625" cy="3695700"/>
            <wp:effectExtent l="0" t="0" r="9525" b="0"/>
            <wp:docPr id="8"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2"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6</w:t>
        </w:r>
      </w:fldSimple>
      <w:r>
        <w:t xml:space="preserve">. </w:t>
      </w:r>
      <w:r w:rsidRPr="00FB4FF8">
        <w:t xml:space="preserve">Adult natural mortality rate. Alternate stable states persist for all values. The range of harvest values over which alternate states occur decreases as adult natural mortality decreases. In other words, as fewer adults </w:t>
      </w:r>
      <w:r>
        <w:t xml:space="preserve">die annually more harvest can </w:t>
      </w:r>
      <w:r w:rsidR="00412A83">
        <w:t>occur</w:t>
      </w:r>
      <w:r>
        <w:t xml:space="preserve"> on species 1 while still allowing it to dominate (panel A). Panel A - species 2 initially dominant; Panel B - species 1 initially dominant.</w:t>
      </w:r>
    </w:p>
    <w:p w:rsidR="00FD39CA" w:rsidRDefault="00767FA2" w:rsidP="00FD39CA">
      <w:pPr>
        <w:pStyle w:val="CaptionedFigure"/>
      </w:pPr>
      <w:r>
        <w:rPr>
          <w:noProof/>
        </w:rPr>
        <w:lastRenderedPageBreak/>
        <w:drawing>
          <wp:inline distT="0" distB="0" distL="0" distR="0" wp14:anchorId="0EE82F6A" wp14:editId="61E96645">
            <wp:extent cx="4619625" cy="3695700"/>
            <wp:effectExtent l="0" t="0" r="9525" b="0"/>
            <wp:docPr id="9"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3"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7</w:t>
        </w:r>
      </w:fldSimple>
      <w:r>
        <w:t>. Species 1 adult</w:t>
      </w:r>
      <w:r w:rsidRPr="003C795A">
        <w:t xml:space="preserve"> predation on species 2 juveniles. Alternate stable states persist for all values except when species 2 is dominant and Adults of species 1 have no effect on species 2 juveniles (0). As the effects of species 1 adults on species 2 </w:t>
      </w:r>
      <w:r>
        <w:t>juveniles increases the range of harvest values over which alternate stable states occur shifts right (i.e. more harvest can be tolerated before the system flips). Panel A - species 2 initially dominant; Panel B - species 1 initially dominant.</w:t>
      </w:r>
    </w:p>
    <w:p w:rsidR="00FD39CA" w:rsidRDefault="00767FA2" w:rsidP="00FD39CA">
      <w:pPr>
        <w:pStyle w:val="CaptionedFigure"/>
      </w:pPr>
      <w:r>
        <w:rPr>
          <w:noProof/>
        </w:rPr>
        <w:lastRenderedPageBreak/>
        <w:drawing>
          <wp:inline distT="0" distB="0" distL="0" distR="0" wp14:anchorId="1856545F" wp14:editId="76D4477E">
            <wp:extent cx="4619625" cy="3695700"/>
            <wp:effectExtent l="0" t="0" r="9525" b="0"/>
            <wp:docPr id="24"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4"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8</w:t>
      </w:r>
      <w:r w:rsidRPr="00FD39CA">
        <w:rPr>
          <w:color w:val="44546A" w:themeColor="text2"/>
          <w:sz w:val="18"/>
          <w:szCs w:val="18"/>
        </w:rPr>
        <w:fldChar w:fldCharType="end"/>
      </w:r>
      <w:r w:rsidRPr="00FD39CA">
        <w:rPr>
          <w:color w:val="44546A" w:themeColor="text2"/>
          <w:sz w:val="18"/>
          <w:szCs w:val="18"/>
        </w:rPr>
        <w:t>. 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w:t>
      </w:r>
    </w:p>
    <w:p w:rsidR="00FD39CA" w:rsidRDefault="00FD39CA" w:rsidP="00FD39CA">
      <w:pPr>
        <w:pStyle w:val="Caption"/>
      </w:pPr>
    </w:p>
    <w:p w:rsidR="00FD39CA" w:rsidRDefault="009A3DD5" w:rsidP="00FD39CA">
      <w:pPr>
        <w:pStyle w:val="CaptionedFigure"/>
      </w:pPr>
      <w:r>
        <w:rPr>
          <w:noProof/>
        </w:rPr>
        <w:lastRenderedPageBreak/>
        <w:drawing>
          <wp:inline distT="0" distB="0" distL="0" distR="0" wp14:anchorId="7C1F678B" wp14:editId="794BEDBE">
            <wp:extent cx="4619625" cy="3695700"/>
            <wp:effectExtent l="0" t="0" r="9525" b="0"/>
            <wp:docPr id="25" name="Picture" descr="Effect of J1 on J2.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5" name="Picture" descr="Effect of J1 on J2. Alternate stable states do NOT persist for all values. This parameter has a large effect on if alternate states exist and when the flipping point is crossed. Panel A - species 2 initially dominant; Panel B - species 1 initially dominant."/>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9</w:t>
      </w:r>
      <w:r w:rsidRPr="00FD39CA">
        <w:rPr>
          <w:color w:val="44546A" w:themeColor="text2"/>
          <w:sz w:val="18"/>
          <w:szCs w:val="18"/>
        </w:rPr>
        <w:fldChar w:fldCharType="end"/>
      </w:r>
      <w:r w:rsidRPr="00FD39CA">
        <w:rPr>
          <w:color w:val="44546A" w:themeColor="text2"/>
          <w:sz w:val="18"/>
          <w:szCs w:val="18"/>
        </w:rPr>
        <w:t xml:space="preserve">. Effect of J1 on J2. Alternate stable states do </w:t>
      </w:r>
      <w:r w:rsidR="00044242">
        <w:rPr>
          <w:color w:val="44546A" w:themeColor="text2"/>
          <w:sz w:val="18"/>
          <w:szCs w:val="18"/>
        </w:rPr>
        <w:t>not</w:t>
      </w:r>
      <w:r w:rsidRPr="00FD39CA">
        <w:rPr>
          <w:color w:val="44546A" w:themeColor="text2"/>
          <w:sz w:val="18"/>
          <w:szCs w:val="18"/>
        </w:rPr>
        <w:t xml:space="preserve"> persist for all values. This parameter has a large effect on </w:t>
      </w:r>
      <w:r w:rsidR="00044242">
        <w:rPr>
          <w:color w:val="44546A" w:themeColor="text2"/>
          <w:sz w:val="18"/>
          <w:szCs w:val="18"/>
        </w:rPr>
        <w:t xml:space="preserve">whether or not </w:t>
      </w:r>
      <w:r w:rsidRPr="00FD39CA">
        <w:rPr>
          <w:color w:val="44546A" w:themeColor="text2"/>
          <w:sz w:val="18"/>
          <w:szCs w:val="18"/>
        </w:rPr>
        <w:t>alternate states exist and when the flipping point is crossed. Panel A - species 2 initially dominant; Panel B - species 1 initially dominant.</w:t>
      </w:r>
    </w:p>
    <w:p w:rsidR="00FD39CA" w:rsidRDefault="00FD39CA" w:rsidP="00FD39CA">
      <w:pPr>
        <w:pStyle w:val="Caption"/>
      </w:pPr>
    </w:p>
    <w:p w:rsidR="00FD39CA" w:rsidRDefault="009A3DD5" w:rsidP="00FD39CA">
      <w:pPr>
        <w:pStyle w:val="CaptionedFigure"/>
      </w:pPr>
      <w:r>
        <w:rPr>
          <w:noProof/>
        </w:rPr>
        <w:lastRenderedPageBreak/>
        <w:drawing>
          <wp:inline distT="0" distB="0" distL="0" distR="0" wp14:anchorId="763E9F5A" wp14:editId="172B7C10">
            <wp:extent cx="4619625" cy="3695700"/>
            <wp:effectExtent l="0" t="0" r="9525" b="0"/>
            <wp:docPr id="26" name="Picture" descr="Effect of J2 on J1.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6" name="Picture" descr="Effect of J2 on J1. Alternate stable states do NOT persist for all values. This parameter has a large effect on if alternate states exist and when the flipping point is crossed. Panel A - species 2 initially dominant; Panel B - species 1 initially dominant."/>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10</w:t>
        </w:r>
      </w:fldSimple>
      <w:r>
        <w:t xml:space="preserve">. </w:t>
      </w:r>
      <w:r w:rsidRPr="00910DBE">
        <w:t>Effect of J2 on J</w:t>
      </w:r>
      <w:r w:rsidR="00044242">
        <w:t>1. Alternate stable states do not</w:t>
      </w:r>
      <w:r w:rsidRPr="00910DBE">
        <w:t xml:space="preserve"> persist for all values. This parameter has a large effect on if alternate states exist and when the flipping point is crossed. Panel A - species 2 initially dominant; Panel B - </w:t>
      </w:r>
      <w:r>
        <w:t>species 1 initially dominant.</w:t>
      </w:r>
    </w:p>
    <w:p w:rsidR="00FD39CA" w:rsidRDefault="009A3DD5" w:rsidP="00FD39CA">
      <w:pPr>
        <w:pStyle w:val="CaptionedFigure"/>
      </w:pPr>
      <w:r>
        <w:rPr>
          <w:noProof/>
        </w:rPr>
        <w:lastRenderedPageBreak/>
        <w:drawing>
          <wp:inline distT="0" distB="0" distL="0" distR="0" wp14:anchorId="6BCFB8F6" wp14:editId="276CF865">
            <wp:extent cx="4619625" cy="3695700"/>
            <wp:effectExtent l="0" t="0" r="9525" b="0"/>
            <wp:docPr id="27"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7"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11</w:t>
        </w:r>
      </w:fldSimple>
      <w:r>
        <w:t xml:space="preserve">. </w:t>
      </w:r>
      <w:r w:rsidRPr="005A2887">
        <w:t>Effect of A2 predation on J1. Alternate stable states persist across all values. As the effect of A2 on J1 decreases more harvest of species 1 can be tolerated before the system flips</w:t>
      </w:r>
      <w:r w:rsidR="00044242">
        <w:t xml:space="preserve">. </w:t>
      </w:r>
      <w:r>
        <w:t>Panel A - species 2 initially dominant; Panel B - species 1 initially dominant.</w:t>
      </w:r>
    </w:p>
    <w:p w:rsidR="00FD39CA" w:rsidRDefault="009A3DD5" w:rsidP="00FD39CA">
      <w:pPr>
        <w:pStyle w:val="CaptionedFigure"/>
      </w:pPr>
      <w:r>
        <w:rPr>
          <w:noProof/>
        </w:rPr>
        <w:lastRenderedPageBreak/>
        <w:drawing>
          <wp:inline distT="0" distB="0" distL="0" distR="0" wp14:anchorId="4E86BC48" wp14:editId="5A545283">
            <wp:extent cx="4619625" cy="3695700"/>
            <wp:effectExtent l="0" t="0" r="9525" b="0"/>
            <wp:docPr id="28"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8"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12</w:t>
        </w:r>
      </w:fldSimple>
      <w:r>
        <w:t xml:space="preserve">. Effect varying </w:t>
      </w:r>
      <w:proofErr w:type="spellStart"/>
      <w:r w:rsidR="00056563">
        <w:t>Beverton</w:t>
      </w:r>
      <w:proofErr w:type="spellEnd"/>
      <w:r w:rsidR="00056563">
        <w:t>-Holt</w:t>
      </w:r>
      <w:r>
        <w:t xml:space="preserve"> parameter</w:t>
      </w:r>
      <w:r w:rsidR="00056563">
        <w:t xml:space="preserve"> ‘a’</w:t>
      </w:r>
      <w:r w:rsidRPr="00686D5D">
        <w:t xml:space="preserve"> - max number of recruit produced. Alternate stable states persist across all values except the very lowest </w:t>
      </w:r>
      <w:r w:rsidR="00242446">
        <w:t>‘</w:t>
      </w:r>
      <w:r w:rsidRPr="00686D5D">
        <w:t>a</w:t>
      </w:r>
      <w:r w:rsidR="00242446">
        <w:t>’</w:t>
      </w:r>
      <w:bookmarkStart w:id="1" w:name="_GoBack"/>
      <w:bookmarkEnd w:id="1"/>
      <w:r w:rsidRPr="00686D5D">
        <w:t xml:space="preserve"> value (1250) and only when species 2 is initially dominant (panel A). Parameter </w:t>
      </w:r>
      <w:r w:rsidR="00242446">
        <w:t>‘a’</w:t>
      </w:r>
      <w:r w:rsidRPr="00686D5D">
        <w:t xml:space="preserve"> has a larger effect on when </w:t>
      </w:r>
      <w:r>
        <w:t>flipping happens in panel B; where species 1 is initially dominant. Panel A - species 2 initially dominant; Panel B - species 1 initially dominant.</w:t>
      </w:r>
    </w:p>
    <w:p w:rsidR="00FD39CA" w:rsidRDefault="009A3DD5" w:rsidP="00FD39CA">
      <w:pPr>
        <w:pStyle w:val="CaptionedFigure"/>
      </w:pPr>
      <w:r>
        <w:rPr>
          <w:noProof/>
        </w:rPr>
        <w:lastRenderedPageBreak/>
        <w:drawing>
          <wp:inline distT="0" distB="0" distL="0" distR="0" wp14:anchorId="0923D34C" wp14:editId="133EE260">
            <wp:extent cx="4619625" cy="3695700"/>
            <wp:effectExtent l="0" t="0" r="9525" b="0"/>
            <wp:docPr id="29"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9"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13</w:t>
        </w:r>
      </w:fldSimple>
      <w:r>
        <w:t xml:space="preserve">. Effect varying </w:t>
      </w:r>
      <w:proofErr w:type="spellStart"/>
      <w:r w:rsidR="00056563">
        <w:t>Beverton</w:t>
      </w:r>
      <w:proofErr w:type="spellEnd"/>
      <w:r w:rsidR="00056563">
        <w:t>-Holt</w:t>
      </w:r>
      <w:r w:rsidRPr="00AF3D8D">
        <w:t xml:space="preserve"> pa</w:t>
      </w:r>
      <w:r>
        <w:t>rameter</w:t>
      </w:r>
      <w:r w:rsidRPr="00AF3D8D">
        <w:t xml:space="preserve"> </w:t>
      </w:r>
      <w:r w:rsidR="00056563">
        <w:t>‘b’</w:t>
      </w:r>
      <w:r w:rsidRPr="00AF3D8D">
        <w:t xml:space="preserve">- stock size to produce .5 of A. Alternate stable states persist across all values. Seems to be a large effect of this parameter in either scenario (panel A or B). No general trend here because of the nonlinear effect of </w:t>
      </w:r>
      <w:proofErr w:type="spellStart"/>
      <w:r w:rsidR="00242446">
        <w:t>Beverton</w:t>
      </w:r>
      <w:proofErr w:type="spellEnd"/>
      <w:r w:rsidR="00242446">
        <w:t>-Holt</w:t>
      </w:r>
      <w:r w:rsidR="00242446" w:rsidRPr="00AF3D8D">
        <w:t xml:space="preserve"> pa</w:t>
      </w:r>
      <w:r w:rsidR="00242446">
        <w:t>rameter</w:t>
      </w:r>
      <w:r w:rsidR="00242446" w:rsidRPr="00AF3D8D">
        <w:t xml:space="preserve"> </w:t>
      </w:r>
      <w:r w:rsidR="00242446">
        <w:t>‘b’</w:t>
      </w:r>
      <w:r w:rsidR="00242446">
        <w:t xml:space="preserve"> </w:t>
      </w:r>
      <w:r>
        <w:t>on recruitment for a given abundance. Panel A - species 2 initially dominant; Panel B - species 1 initially dominant.</w:t>
      </w:r>
    </w:p>
    <w:bookmarkEnd w:id="0"/>
    <w:p w:rsidR="00642113" w:rsidRDefault="00642113" w:rsidP="00C02C93"/>
    <w:p w:rsidR="00642113" w:rsidRDefault="00642113" w:rsidP="00C02C93"/>
    <w:sectPr w:rsidR="0064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44242"/>
    <w:rsid w:val="00056563"/>
    <w:rsid w:val="00057441"/>
    <w:rsid w:val="0007441A"/>
    <w:rsid w:val="00077B45"/>
    <w:rsid w:val="001239C7"/>
    <w:rsid w:val="00242446"/>
    <w:rsid w:val="003479EC"/>
    <w:rsid w:val="003804A9"/>
    <w:rsid w:val="00412A83"/>
    <w:rsid w:val="004F74A3"/>
    <w:rsid w:val="00512D4A"/>
    <w:rsid w:val="00642113"/>
    <w:rsid w:val="007036FF"/>
    <w:rsid w:val="007411F9"/>
    <w:rsid w:val="00767FA2"/>
    <w:rsid w:val="007921EE"/>
    <w:rsid w:val="00936155"/>
    <w:rsid w:val="009A3DD5"/>
    <w:rsid w:val="009F5919"/>
    <w:rsid w:val="00B0014A"/>
    <w:rsid w:val="00C02C93"/>
    <w:rsid w:val="00E13CF0"/>
    <w:rsid w:val="00F31A68"/>
    <w:rsid w:val="00FD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7B14"/>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2928F-2787-4E3A-A3FD-426853B0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7</cp:revision>
  <dcterms:created xsi:type="dcterms:W3CDTF">2021-01-07T19:21:00Z</dcterms:created>
  <dcterms:modified xsi:type="dcterms:W3CDTF">2021-01-08T16:01:00Z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