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SAP SD PRICING, DISCOUNTS, AND BILLING CONFIGURATION ANALYSIS</w:t>
      </w:r>
    </w:p>
    <w:p>
      <w:pPr>
        <w:spacing w:before="0" w:after="360"/>
      </w:pPr>
      <w:r>
        <w:rPr>
          <w:rFonts w:ascii="Arial" w:hAnsi="Arial"/>
          <w:i/>
          <w:color w:val="2E5B88"/>
          <w:sz w:val="24"/>
        </w:rPr>
        <w:t>Week 3 Task Deliverable | End-to-End Sales &amp; Distribution Configuration &amp; Simulation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0" w:line="288" w:lineRule="auto"/>
            </w:pPr>
            <w:r>
              <w:rPr>
                <w:b/>
                <w:color w:val="1B365D"/>
              </w:rPr>
              <w:t xml:space="preserve">Project / Domain: </w:t>
            </w:r>
            <w:r>
              <w:t>SAP SD (Sales &amp; Distribution) Functional Architecture</w:t>
              <w:br/>
            </w:r>
            <w:r>
              <w:rPr>
                <w:b/>
                <w:color w:val="1B365D"/>
              </w:rPr>
              <w:t xml:space="preserve">Author / Role: </w:t>
            </w:r>
            <w:r>
              <w:t>SAP SD Functional Consultant Intern</w:t>
              <w:br/>
            </w:r>
            <w:r>
              <w:rPr>
                <w:b/>
                <w:color w:val="1B365D"/>
              </w:rPr>
              <w:t xml:space="preserve">Target Environment: </w:t>
            </w:r>
            <w:r>
              <w:t>SAP S/4HANA / SAP ECC 6.0 Enterprise System</w:t>
              <w:br/>
            </w:r>
            <w:r>
              <w:rPr>
                <w:b/>
                <w:color w:val="1B365D"/>
              </w:rPr>
              <w:t xml:space="preserve">Document Scope: </w:t>
            </w:r>
            <w:r>
              <w:t>Pricing Condition Technique, Discount Strategies, Billing &amp; Revenue Recognition</w:t>
            </w:r>
          </w:p>
        </w:tc>
      </w:tr>
    </w:tbl>
    <w:p>
      <w:pPr>
        <w:spacing w:after="120"/>
      </w:pPr>
    </w:p>
    <w:p>
      <w:pPr>
        <w:keepNext/>
        <w:spacing w:before="320" w:after="120"/>
      </w:pPr>
      <w:r>
        <w:rPr>
          <w:rFonts w:ascii="Arial" w:hAnsi="Arial"/>
          <w:b/>
          <w:color w:val="1B365D"/>
          <w:sz w:val="28"/>
        </w:rPr>
        <w:t>1. Objective &amp; Executive Summary</w:t>
      </w:r>
    </w:p>
    <w:p>
      <w:pPr>
        <w:spacing w:after="120"/>
      </w:pPr>
      <w:r>
        <w:t>The primary objective of this project is to conduct an in-depth analysis and execute complete functional configuration for pricing, discount structures, and billing integration within an SAP Sales and Distribution (SD) environment. Designed for a hypothetical enterprise entity—</w:t>
      </w:r>
      <w:r>
        <w:rPr>
          <w:b/>
        </w:rPr>
        <w:t>Apex Industrial Solutions Solutions GmbH</w:t>
      </w:r>
      <w:r>
        <w:t>—this document establishes a robust, highly scalable pricing architecture based on the SAP Condition Technique. It details tactical condition type setups, discount strategies, billing reconciliation procedures, and compliance with statutory revenue recognition standards.</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80" w:type="dxa"/>
              <w:right w:w="180" w:type="dxa"/>
            </w:tcMar>
          </w:tcPr>
          <w:p>
            <w:pPr>
              <w:spacing w:after="0"/>
            </w:pPr>
            <w:r>
              <w:rPr>
                <w:b/>
                <w:color w:val="1B365D"/>
              </w:rPr>
              <w:t xml:space="preserve">[EXECUTIVE SUMMARY] </w:t>
            </w:r>
            <w:r>
              <w:t>The configuration established herein ensures accurate pricing calculation, automated tax determination, flexible promotional structures, and seamless integration between SD and Financial Accounting (FI).</w:t>
            </w:r>
          </w:p>
        </w:tc>
      </w:tr>
    </w:tbl>
    <w:p>
      <w:pPr>
        <w:spacing w:after="80"/>
      </w:pPr>
    </w:p>
    <w:p>
      <w:pPr>
        <w:keepNext/>
        <w:spacing w:before="320" w:after="120"/>
      </w:pPr>
      <w:r>
        <w:rPr>
          <w:rFonts w:ascii="Arial" w:hAnsi="Arial"/>
          <w:b/>
          <w:color w:val="1B365D"/>
          <w:sz w:val="28"/>
        </w:rPr>
        <w:t>2. Research on Pricing Models &amp; SAP SD Condition Technique</w:t>
      </w:r>
    </w:p>
    <w:p>
      <w:pPr>
        <w:spacing w:after="120"/>
      </w:pPr>
      <w:r>
        <w:t>SAP SD pricing is governed by the Condition Technique—a structured, modular methodology that dynamically calculates gross prices, surcharges, discounts, freight, and taxes during sales order processing. The architecture relies on five fundamental components:</w:t>
      </w:r>
    </w:p>
    <w:p>
      <w:pPr>
        <w:pStyle w:val="ListBullet"/>
        <w:spacing w:after="60"/>
      </w:pPr>
      <w:r>
        <w:rPr>
          <w:b/>
          <w:color w:val="1B365D"/>
        </w:rPr>
        <w:t>Field Catalog:</w:t>
      </w:r>
      <w:r>
        <w:t xml:space="preserve"> Defines all searchable dynamic attributes (e.g., Customer, Material, Sales Org, Region) used to derive prices.</w:t>
      </w:r>
    </w:p>
    <w:p>
      <w:pPr>
        <w:pStyle w:val="ListBullet"/>
        <w:spacing w:after="60"/>
      </w:pPr>
      <w:r>
        <w:rPr>
          <w:b/>
          <w:color w:val="1B365D"/>
        </w:rPr>
        <w:t>Condition Tables (A-Tables):</w:t>
      </w:r>
      <w:r>
        <w:t xml:space="preserve"> Combinations of fields stored as database tables (e.g., Table 304: Material with Release Status; Table 005: Customer/Material).</w:t>
      </w:r>
    </w:p>
    <w:p>
      <w:pPr>
        <w:pStyle w:val="ListBullet"/>
        <w:spacing w:after="60"/>
      </w:pPr>
      <w:r>
        <w:rPr>
          <w:b/>
          <w:color w:val="1B365D"/>
        </w:rPr>
        <w:t>Access Sequences:</w:t>
      </w:r>
      <w:r>
        <w:t xml:space="preserve"> Search strategies that search condition tables from the most specific key combination to the most general.</w:t>
      </w:r>
    </w:p>
    <w:p>
      <w:pPr>
        <w:pStyle w:val="ListBullet"/>
        <w:spacing w:after="60"/>
      </w:pPr>
      <w:r>
        <w:rPr>
          <w:b/>
          <w:color w:val="1B365D"/>
        </w:rPr>
        <w:t>Condition Types:</w:t>
      </w:r>
      <w:r>
        <w:t xml:space="preserve"> Operational representations of pricing components (e.g., PR00 for Base Price, K007 for Customer Discount, MWST for Output Tax).</w:t>
      </w:r>
    </w:p>
    <w:p>
      <w:pPr>
        <w:pStyle w:val="ListBullet"/>
        <w:spacing w:after="60"/>
      </w:pPr>
      <w:r>
        <w:rPr>
          <w:b/>
          <w:color w:val="1B365D"/>
        </w:rPr>
        <w:t>Pricing Procedure:</w:t>
      </w:r>
      <w:r>
        <w:t xml:space="preserve"> A master sequence combining all condition types, defining calculation formulas, subtotal storage, requirements, and account keys.</w:t>
      </w:r>
    </w:p>
    <w:p>
      <w:pPr>
        <w:keepNext/>
        <w:spacing w:before="240" w:after="80"/>
      </w:pPr>
      <w:r>
        <w:rPr>
          <w:rFonts w:ascii="Arial" w:hAnsi="Arial"/>
          <w:b/>
          <w:color w:val="2E5B88"/>
          <w:sz w:val="24"/>
        </w:rPr>
        <w:t>Comparative Analysis of SAP Pricing Models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B365D"/>
          </w:tcPr>
          <w:p>
            <w:r>
              <w:rPr>
                <w:b/>
                <w:color w:val="FFFFFF"/>
                <w:sz w:val="19"/>
              </w:rPr>
              <w:t>Pricing Model</w:t>
            </w:r>
          </w:p>
        </w:tc>
        <w:tc>
          <w:tcPr>
            <w:tcW w:type="dxa" w:w="2592"/>
            <w:shd w:fill="1B365D"/>
          </w:tcPr>
          <w:p>
            <w:r>
              <w:rPr>
                <w:b/>
                <w:color w:val="FFFFFF"/>
                <w:sz w:val="19"/>
              </w:rPr>
              <w:t>SAP SD Mechanism</w:t>
            </w:r>
          </w:p>
        </w:tc>
        <w:tc>
          <w:tcPr>
            <w:tcW w:type="dxa" w:w="3168"/>
            <w:shd w:fill="1B365D"/>
          </w:tcPr>
          <w:p>
            <w:r>
              <w:rPr>
                <w:b/>
                <w:color w:val="FFFFFF"/>
                <w:sz w:val="19"/>
              </w:rPr>
              <w:t>Business Use Case</w:t>
            </w:r>
          </w:p>
        </w:tc>
        <w:tc>
          <w:tcPr>
            <w:tcW w:type="dxa" w:w="1440"/>
            <w:shd w:fill="1B365D"/>
          </w:tcPr>
          <w:p>
            <w:r>
              <w:rPr>
                <w:b/>
                <w:color w:val="FFFFFF"/>
                <w:sz w:val="19"/>
              </w:rPr>
              <w:t>Configuration Complexity</w:t>
            </w:r>
          </w:p>
        </w:tc>
      </w:tr>
      <w:tr>
        <w:tc>
          <w:tcPr>
            <w:tcW w:type="dxa" w:w="2160"/>
            <w:shd w:fill="F9FBFD"/>
            <w:tcMar>
              <w:top w:w="80" w:type="dxa"/>
              <w:bottom w:w="80" w:type="dxa"/>
              <w:left w:w="100" w:type="dxa"/>
              <w:right w:w="100" w:type="dxa"/>
            </w:tcMar>
          </w:tcPr>
          <w:p>
            <w:r>
              <w:rPr>
                <w:sz w:val="18"/>
              </w:rPr>
              <w:t>Standard List Pricing</w:t>
            </w:r>
          </w:p>
        </w:tc>
        <w:tc>
          <w:tcPr>
            <w:tcW w:type="dxa" w:w="2592"/>
            <w:shd w:fill="F9FBFD"/>
            <w:tcMar>
              <w:top w:w="80" w:type="dxa"/>
              <w:bottom w:w="80" w:type="dxa"/>
              <w:left w:w="100" w:type="dxa"/>
              <w:right w:w="100" w:type="dxa"/>
            </w:tcMar>
          </w:tcPr>
          <w:p>
            <w:r>
              <w:rPr>
                <w:sz w:val="18"/>
              </w:rPr>
              <w:t>Condition PR00 with Access Sequence PR00 (Customer/Material -&gt; Material)</w:t>
            </w:r>
          </w:p>
        </w:tc>
        <w:tc>
          <w:tcPr>
            <w:tcW w:type="dxa" w:w="3168"/>
            <w:shd w:fill="F9FBFD"/>
            <w:tcMar>
              <w:top w:w="80" w:type="dxa"/>
              <w:bottom w:w="80" w:type="dxa"/>
              <w:left w:w="100" w:type="dxa"/>
              <w:right w:w="100" w:type="dxa"/>
            </w:tcMar>
          </w:tcPr>
          <w:p>
            <w:r>
              <w:rPr>
                <w:sz w:val="18"/>
              </w:rPr>
              <w:t>Standard catalog product sales to standard customers.</w:t>
            </w:r>
          </w:p>
        </w:tc>
        <w:tc>
          <w:tcPr>
            <w:tcW w:type="dxa" w:w="1440"/>
            <w:shd w:fill="F9FBFD"/>
            <w:tcMar>
              <w:top w:w="80" w:type="dxa"/>
              <w:bottom w:w="80" w:type="dxa"/>
              <w:left w:w="100" w:type="dxa"/>
              <w:right w:w="100" w:type="dxa"/>
            </w:tcMar>
          </w:tcPr>
          <w:p>
            <w:r>
              <w:rPr>
                <w:sz w:val="18"/>
              </w:rPr>
              <w:t>Low</w:t>
            </w:r>
          </w:p>
        </w:tc>
      </w:tr>
      <w:tr>
        <w:tc>
          <w:tcPr>
            <w:tcW w:type="dxa" w:w="2160"/>
            <w:shd w:fill="FFFFFF"/>
            <w:tcMar>
              <w:top w:w="80" w:type="dxa"/>
              <w:bottom w:w="80" w:type="dxa"/>
              <w:left w:w="100" w:type="dxa"/>
              <w:right w:w="100" w:type="dxa"/>
            </w:tcMar>
          </w:tcPr>
          <w:p>
            <w:r>
              <w:rPr>
                <w:sz w:val="18"/>
              </w:rPr>
              <w:t>Tiered / Quantity Pricing</w:t>
            </w:r>
          </w:p>
        </w:tc>
        <w:tc>
          <w:tcPr>
            <w:tcW w:type="dxa" w:w="2592"/>
            <w:shd w:fill="FFFFFF"/>
            <w:tcMar>
              <w:top w:w="80" w:type="dxa"/>
              <w:bottom w:w="80" w:type="dxa"/>
              <w:left w:w="100" w:type="dxa"/>
              <w:right w:w="100" w:type="dxa"/>
            </w:tcMar>
          </w:tcPr>
          <w:p>
            <w:r>
              <w:rPr>
                <w:sz w:val="18"/>
              </w:rPr>
              <w:t>Condition PR00 with Scale Formulas (Base Quantity Scales)</w:t>
            </w:r>
          </w:p>
        </w:tc>
        <w:tc>
          <w:tcPr>
            <w:tcW w:type="dxa" w:w="3168"/>
            <w:shd w:fill="FFFFFF"/>
            <w:tcMar>
              <w:top w:w="80" w:type="dxa"/>
              <w:bottom w:w="80" w:type="dxa"/>
              <w:left w:w="100" w:type="dxa"/>
              <w:right w:w="100" w:type="dxa"/>
            </w:tcMar>
          </w:tcPr>
          <w:p>
            <w:r>
              <w:rPr>
                <w:sz w:val="18"/>
              </w:rPr>
              <w:t>Volume purchasing incentives (e.g., &gt;100 units = 5% off base).</w:t>
            </w:r>
          </w:p>
        </w:tc>
        <w:tc>
          <w:tcPr>
            <w:tcW w:type="dxa" w:w="1440"/>
            <w:shd w:fill="FFFFFF"/>
            <w:tcMar>
              <w:top w:w="80" w:type="dxa"/>
              <w:bottom w:w="80" w:type="dxa"/>
              <w:left w:w="100" w:type="dxa"/>
              <w:right w:w="100" w:type="dxa"/>
            </w:tcMar>
          </w:tcPr>
          <w:p>
            <w:r>
              <w:rPr>
                <w:sz w:val="18"/>
              </w:rPr>
              <w:t>Medium</w:t>
            </w:r>
          </w:p>
        </w:tc>
      </w:tr>
      <w:tr>
        <w:tc>
          <w:tcPr>
            <w:tcW w:type="dxa" w:w="2160"/>
            <w:shd w:fill="F9FBFD"/>
            <w:tcMar>
              <w:top w:w="80" w:type="dxa"/>
              <w:bottom w:w="80" w:type="dxa"/>
              <w:left w:w="100" w:type="dxa"/>
              <w:right w:w="100" w:type="dxa"/>
            </w:tcMar>
          </w:tcPr>
          <w:p>
            <w:r>
              <w:rPr>
                <w:sz w:val="18"/>
              </w:rPr>
              <w:t>Customer-Specific Pricing</w:t>
            </w:r>
          </w:p>
        </w:tc>
        <w:tc>
          <w:tcPr>
            <w:tcW w:type="dxa" w:w="2592"/>
            <w:shd w:fill="F9FBFD"/>
            <w:tcMar>
              <w:top w:w="80" w:type="dxa"/>
              <w:bottom w:w="80" w:type="dxa"/>
              <w:left w:w="100" w:type="dxa"/>
              <w:right w:w="100" w:type="dxa"/>
            </w:tcMar>
          </w:tcPr>
          <w:p>
            <w:r>
              <w:rPr>
                <w:sz w:val="18"/>
              </w:rPr>
              <w:t>Condition PR05 / Custom Condition Types with Customer/Material Access</w:t>
            </w:r>
          </w:p>
        </w:tc>
        <w:tc>
          <w:tcPr>
            <w:tcW w:type="dxa" w:w="3168"/>
            <w:shd w:fill="F9FBFD"/>
            <w:tcMar>
              <w:top w:w="80" w:type="dxa"/>
              <w:bottom w:w="80" w:type="dxa"/>
              <w:left w:w="100" w:type="dxa"/>
              <w:right w:w="100" w:type="dxa"/>
            </w:tcMar>
          </w:tcPr>
          <w:p>
            <w:r>
              <w:rPr>
                <w:sz w:val="18"/>
              </w:rPr>
              <w:t>Contractual strategic partner pricing override.</w:t>
            </w:r>
          </w:p>
        </w:tc>
        <w:tc>
          <w:tcPr>
            <w:tcW w:type="dxa" w:w="1440"/>
            <w:shd w:fill="F9FBFD"/>
            <w:tcMar>
              <w:top w:w="80" w:type="dxa"/>
              <w:bottom w:w="80" w:type="dxa"/>
              <w:left w:w="100" w:type="dxa"/>
              <w:right w:w="100" w:type="dxa"/>
            </w:tcMar>
          </w:tcPr>
          <w:p>
            <w:r>
              <w:rPr>
                <w:sz w:val="18"/>
              </w:rPr>
              <w:t>Medium</w:t>
            </w:r>
          </w:p>
        </w:tc>
      </w:tr>
      <w:tr>
        <w:tc>
          <w:tcPr>
            <w:tcW w:type="dxa" w:w="2160"/>
            <w:shd w:fill="FFFFFF"/>
            <w:tcMar>
              <w:top w:w="80" w:type="dxa"/>
              <w:bottom w:w="80" w:type="dxa"/>
              <w:left w:w="100" w:type="dxa"/>
              <w:right w:w="100" w:type="dxa"/>
            </w:tcMar>
          </w:tcPr>
          <w:p>
            <w:r>
              <w:rPr>
                <w:sz w:val="18"/>
              </w:rPr>
              <w:t>Cost-Plus Dynamic Pricing</w:t>
            </w:r>
          </w:p>
        </w:tc>
        <w:tc>
          <w:tcPr>
            <w:tcW w:type="dxa" w:w="2592"/>
            <w:shd w:fill="FFFFFF"/>
            <w:tcMar>
              <w:top w:w="80" w:type="dxa"/>
              <w:bottom w:w="80" w:type="dxa"/>
              <w:left w:w="100" w:type="dxa"/>
              <w:right w:w="100" w:type="dxa"/>
            </w:tcMar>
          </w:tcPr>
          <w:p>
            <w:r>
              <w:rPr>
                <w:sz w:val="18"/>
              </w:rPr>
              <w:t>Condition EK02 (Cost) + Markup Condition (e.g., ZMKP %)</w:t>
            </w:r>
          </w:p>
        </w:tc>
        <w:tc>
          <w:tcPr>
            <w:tcW w:type="dxa" w:w="3168"/>
            <w:shd w:fill="FFFFFF"/>
            <w:tcMar>
              <w:top w:w="80" w:type="dxa"/>
              <w:bottom w:w="80" w:type="dxa"/>
              <w:left w:w="100" w:type="dxa"/>
              <w:right w:w="100" w:type="dxa"/>
            </w:tcMar>
          </w:tcPr>
          <w:p>
            <w:r>
              <w:rPr>
                <w:sz w:val="18"/>
              </w:rPr>
              <w:t>Engineered-to-order products and customized B2B contracts.</w:t>
            </w:r>
          </w:p>
        </w:tc>
        <w:tc>
          <w:tcPr>
            <w:tcW w:type="dxa" w:w="1440"/>
            <w:shd w:fill="FFFFFF"/>
            <w:tcMar>
              <w:top w:w="80" w:type="dxa"/>
              <w:bottom w:w="80" w:type="dxa"/>
              <w:left w:w="100" w:type="dxa"/>
              <w:right w:w="100" w:type="dxa"/>
            </w:tcMar>
          </w:tcPr>
          <w:p>
            <w:r>
              <w:rPr>
                <w:sz w:val="18"/>
              </w:rPr>
              <w:t>High</w:t>
            </w:r>
          </w:p>
        </w:tc>
      </w:tr>
    </w:tbl>
    <w:p>
      <w:pPr>
        <w:spacing w:after="120"/>
      </w:pPr>
    </w:p>
    <w:p>
      <w:pPr>
        <w:keepNext/>
        <w:spacing w:before="320" w:after="120"/>
      </w:pPr>
      <w:r>
        <w:rPr>
          <w:rFonts w:ascii="Arial" w:hAnsi="Arial"/>
          <w:b/>
          <w:color w:val="1B365D"/>
          <w:sz w:val="28"/>
        </w:rPr>
        <w:t>3. Simulated Multi-Condition Business Scenario</w:t>
      </w:r>
    </w:p>
    <w:p>
      <w:pPr>
        <w:spacing w:after="120"/>
      </w:pPr>
      <w:r>
        <w:t xml:space="preserve">To demonstrate practical execution, we simulate a commercial transaction for </w:t>
      </w:r>
      <w:r>
        <w:rPr>
          <w:b/>
        </w:rPr>
        <w:t>Apex Industrial Solutions GmbH</w:t>
      </w:r>
      <w:r>
        <w:t>. The scenario involves selling high-performance industrial pump assemblies (Material #APX-9001) to a key international enterprise customer (Customer #CUST-8840) operating under standard European VAT guidelines.</w:t>
      </w:r>
    </w:p>
    <w:tbl>
      <w:tblPr>
        <w:tblW w:type="auto" w:w="0"/>
        <w:jc w:val="center"/>
        <w:tblLook w:firstColumn="1" w:firstRow="1" w:lastColumn="0" w:lastRow="0" w:noHBand="0" w:noVBand="1" w:val="04A0"/>
      </w:tblPr>
      <w:tblGrid>
        <w:gridCol w:w="9360"/>
      </w:tblGrid>
      <w:tr>
        <w:tc>
          <w:tcPr>
            <w:tcW w:type="dxa" w:w="9360"/>
            <w:shd w:fill="F9FBFD"/>
            <w:tcMar>
              <w:top w:w="120" w:type="dxa"/>
              <w:bottom w:w="120" w:type="dxa"/>
              <w:left w:w="150" w:type="dxa"/>
              <w:right w:w="150" w:type="dxa"/>
            </w:tcMar>
          </w:tcPr>
          <w:p>
            <w:pPr>
              <w:spacing w:after="0" w:line="288" w:lineRule="auto"/>
            </w:pPr>
            <w:r>
              <w:rPr>
                <w:b/>
              </w:rPr>
              <w:t>Transaction Baseline Parameters:</w:t>
              <w:br/>
            </w:r>
            <w:r>
              <w:rPr>
                <w:b/>
              </w:rPr>
              <w:t xml:space="preserve">• Order Quantity: </w:t>
            </w:r>
            <w:r>
              <w:t>100 Units of APX-9001</w:t>
              <w:br/>
            </w:r>
            <w:r>
              <w:rPr>
                <w:b/>
              </w:rPr>
              <w:t xml:space="preserve">• Base Gross List Price (PR00): </w:t>
            </w:r>
            <w:r>
              <w:t>$1,000.00 / Unit (Total Base: $100,000.00)</w:t>
              <w:br/>
            </w:r>
            <w:r>
              <w:rPr>
                <w:b/>
              </w:rPr>
              <w:t xml:space="preserve">• Strategic Key Customer Discount (K007): </w:t>
            </w:r>
            <w:r>
              <w:t>10% absolute discount on gross value</w:t>
              <w:br/>
            </w:r>
            <w:r>
              <w:rPr>
                <w:b/>
              </w:rPr>
              <w:t xml:space="preserve">• Volume Tier Rebate Discount (K005): </w:t>
            </w:r>
            <w:r>
              <w:t>5% progressive discount for orders &gt;= 50 units</w:t>
              <w:br/>
            </w:r>
            <w:r>
              <w:rPr>
                <w:b/>
              </w:rPr>
              <w:t xml:space="preserve">• Urgent Freight Surcharge (HD00): </w:t>
            </w:r>
            <w:r>
              <w:t>$2,500.00 fixed surcharge for expedite air transport</w:t>
              <w:br/>
            </w:r>
            <w:r>
              <w:rPr>
                <w:b/>
              </w:rPr>
              <w:t xml:space="preserve">• Value Added Tax / Output Tax (MWST): </w:t>
            </w:r>
            <w:r>
              <w:t>19% standard VAT calculated on net taxable total</w:t>
            </w:r>
          </w:p>
        </w:tc>
      </w:tr>
    </w:tbl>
    <w:p>
      <w:pPr>
        <w:spacing w:after="120"/>
      </w:pPr>
    </w:p>
    <w:p>
      <w:pPr>
        <w:keepNext/>
        <w:spacing w:before="240" w:after="80"/>
      </w:pPr>
      <w:r>
        <w:rPr>
          <w:rFonts w:ascii="Arial" w:hAnsi="Arial"/>
          <w:b/>
          <w:color w:val="2E5B88"/>
          <w:sz w:val="24"/>
        </w:rPr>
        <w:t>Simulated Price Calculation Breakdown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720"/>
            <w:shd w:fill="1B365D"/>
          </w:tcPr>
          <w:p>
            <w:r>
              <w:rPr>
                <w:b/>
                <w:color w:val="FFFFFF"/>
                <w:sz w:val="18"/>
              </w:rPr>
              <w:t>Step</w:t>
            </w:r>
          </w:p>
        </w:tc>
        <w:tc>
          <w:tcPr>
            <w:tcW w:type="dxa" w:w="1584"/>
            <w:shd w:fill="1B365D"/>
          </w:tcPr>
          <w:p>
            <w:r>
              <w:rPr>
                <w:b/>
                <w:color w:val="FFFFFF"/>
                <w:sz w:val="18"/>
              </w:rPr>
              <w:t>Condition Type</w:t>
            </w:r>
          </w:p>
        </w:tc>
        <w:tc>
          <w:tcPr>
            <w:tcW w:type="dxa" w:w="3024"/>
            <w:shd w:fill="1B365D"/>
          </w:tcPr>
          <w:p>
            <w:r>
              <w:rPr>
                <w:b/>
                <w:color w:val="FFFFFF"/>
                <w:sz w:val="18"/>
              </w:rPr>
              <w:t>Description</w:t>
            </w:r>
          </w:p>
        </w:tc>
        <w:tc>
          <w:tcPr>
            <w:tcW w:type="dxa" w:w="1584"/>
            <w:shd w:fill="1B365D"/>
          </w:tcPr>
          <w:p>
            <w:r>
              <w:rPr>
                <w:b/>
                <w:color w:val="FFFFFF"/>
                <w:sz w:val="18"/>
              </w:rPr>
              <w:t>Rate / Basis</w:t>
            </w:r>
          </w:p>
        </w:tc>
        <w:tc>
          <w:tcPr>
            <w:tcW w:type="dxa" w:w="1296"/>
            <w:shd w:fill="1B365D"/>
          </w:tcPr>
          <w:p>
            <w:r>
              <w:rPr>
                <w:b/>
                <w:color w:val="FFFFFF"/>
                <w:sz w:val="18"/>
              </w:rPr>
              <w:t>Amount ($)</w:t>
            </w:r>
          </w:p>
        </w:tc>
        <w:tc>
          <w:tcPr>
            <w:tcW w:type="dxa" w:w="1152"/>
            <w:shd w:fill="1B365D"/>
          </w:tcPr>
          <w:p>
            <w:r>
              <w:rPr>
                <w:b/>
                <w:color w:val="FFFFFF"/>
                <w:sz w:val="18"/>
              </w:rPr>
              <w:t>Subtotal Accumulation</w:t>
            </w:r>
          </w:p>
        </w:tc>
      </w:tr>
      <w:tr>
        <w:tc>
          <w:tcPr>
            <w:tcW w:type="dxa" w:w="720"/>
            <w:shd w:fill="F9FBFD"/>
            <w:tcMar>
              <w:top w:w="70" w:type="dxa"/>
              <w:bottom w:w="70" w:type="dxa"/>
              <w:left w:w="80" w:type="dxa"/>
              <w:right w:w="80" w:type="dxa"/>
            </w:tcMar>
          </w:tcPr>
          <w:p>
            <w:r>
              <w:rPr>
                <w:sz w:val="17"/>
              </w:rPr>
              <w:t>10</w:t>
            </w:r>
          </w:p>
        </w:tc>
        <w:tc>
          <w:tcPr>
            <w:tcW w:type="dxa" w:w="1584"/>
            <w:shd w:fill="F9FBFD"/>
            <w:tcMar>
              <w:top w:w="70" w:type="dxa"/>
              <w:bottom w:w="70" w:type="dxa"/>
              <w:left w:w="80" w:type="dxa"/>
              <w:right w:w="80" w:type="dxa"/>
            </w:tcMar>
          </w:tcPr>
          <w:p>
            <w:r>
              <w:rPr>
                <w:sz w:val="17"/>
              </w:rPr>
              <w:t>PR00</w:t>
            </w:r>
          </w:p>
        </w:tc>
        <w:tc>
          <w:tcPr>
            <w:tcW w:type="dxa" w:w="3024"/>
            <w:shd w:fill="F9FBFD"/>
            <w:tcMar>
              <w:top w:w="70" w:type="dxa"/>
              <w:bottom w:w="70" w:type="dxa"/>
              <w:left w:w="80" w:type="dxa"/>
              <w:right w:w="80" w:type="dxa"/>
            </w:tcMar>
          </w:tcPr>
          <w:p>
            <w:r>
              <w:rPr>
                <w:sz w:val="17"/>
              </w:rPr>
              <w:t>Base Price</w:t>
            </w:r>
          </w:p>
        </w:tc>
        <w:tc>
          <w:tcPr>
            <w:tcW w:type="dxa" w:w="1584"/>
            <w:shd w:fill="F9FBFD"/>
            <w:tcMar>
              <w:top w:w="70" w:type="dxa"/>
              <w:bottom w:w="70" w:type="dxa"/>
              <w:left w:w="80" w:type="dxa"/>
              <w:right w:w="80" w:type="dxa"/>
            </w:tcMar>
          </w:tcPr>
          <w:p>
            <w:r>
              <w:rPr>
                <w:sz w:val="17"/>
              </w:rPr>
              <w:t>$1,000.00 / EA</w:t>
            </w:r>
          </w:p>
        </w:tc>
        <w:tc>
          <w:tcPr>
            <w:tcW w:type="dxa" w:w="1296"/>
            <w:shd w:fill="F9FBFD"/>
            <w:tcMar>
              <w:top w:w="70" w:type="dxa"/>
              <w:bottom w:w="70" w:type="dxa"/>
              <w:left w:w="80" w:type="dxa"/>
              <w:right w:w="80" w:type="dxa"/>
            </w:tcMar>
          </w:tcPr>
          <w:p>
            <w:r>
              <w:rPr>
                <w:sz w:val="17"/>
              </w:rPr>
              <w:t>$100,000.00</w:t>
            </w:r>
          </w:p>
        </w:tc>
        <w:tc>
          <w:tcPr>
            <w:tcW w:type="dxa" w:w="1152"/>
            <w:shd w:fill="F9FBFD"/>
            <w:tcMar>
              <w:top w:w="70" w:type="dxa"/>
              <w:bottom w:w="70" w:type="dxa"/>
              <w:left w:w="80" w:type="dxa"/>
              <w:right w:w="80" w:type="dxa"/>
            </w:tcMar>
          </w:tcPr>
          <w:p>
            <w:r>
              <w:rPr>
                <w:sz w:val="17"/>
              </w:rPr>
              <w:t>Subtotal 1 (Gross)</w:t>
            </w:r>
          </w:p>
        </w:tc>
      </w:tr>
      <w:tr>
        <w:tc>
          <w:tcPr>
            <w:tcW w:type="dxa" w:w="720"/>
            <w:shd w:fill="FFFFFF"/>
            <w:tcMar>
              <w:top w:w="70" w:type="dxa"/>
              <w:bottom w:w="70" w:type="dxa"/>
              <w:left w:w="80" w:type="dxa"/>
              <w:right w:w="80" w:type="dxa"/>
            </w:tcMar>
          </w:tcPr>
          <w:p>
            <w:r>
              <w:rPr>
                <w:sz w:val="17"/>
              </w:rPr>
              <w:t>20</w:t>
            </w:r>
          </w:p>
        </w:tc>
        <w:tc>
          <w:tcPr>
            <w:tcW w:type="dxa" w:w="1584"/>
            <w:shd w:fill="FFFFFF"/>
            <w:tcMar>
              <w:top w:w="70" w:type="dxa"/>
              <w:bottom w:w="70" w:type="dxa"/>
              <w:left w:w="80" w:type="dxa"/>
              <w:right w:w="80" w:type="dxa"/>
            </w:tcMar>
          </w:tcPr>
          <w:p>
            <w:r>
              <w:rPr>
                <w:sz w:val="17"/>
              </w:rPr>
              <w:t>K007</w:t>
            </w:r>
          </w:p>
        </w:tc>
        <w:tc>
          <w:tcPr>
            <w:tcW w:type="dxa" w:w="3024"/>
            <w:shd w:fill="FFFFFF"/>
            <w:tcMar>
              <w:top w:w="70" w:type="dxa"/>
              <w:bottom w:w="70" w:type="dxa"/>
              <w:left w:w="80" w:type="dxa"/>
              <w:right w:w="80" w:type="dxa"/>
            </w:tcMar>
          </w:tcPr>
          <w:p>
            <w:r>
              <w:rPr>
                <w:sz w:val="17"/>
              </w:rPr>
              <w:t>Customer Discount</w:t>
            </w:r>
          </w:p>
        </w:tc>
        <w:tc>
          <w:tcPr>
            <w:tcW w:type="dxa" w:w="1584"/>
            <w:shd w:fill="FFFFFF"/>
            <w:tcMar>
              <w:top w:w="70" w:type="dxa"/>
              <w:bottom w:w="70" w:type="dxa"/>
              <w:left w:w="80" w:type="dxa"/>
              <w:right w:w="80" w:type="dxa"/>
            </w:tcMar>
          </w:tcPr>
          <w:p>
            <w:r>
              <w:rPr>
                <w:sz w:val="17"/>
              </w:rPr>
              <w:t>-10.00%</w:t>
            </w:r>
          </w:p>
        </w:tc>
        <w:tc>
          <w:tcPr>
            <w:tcW w:type="dxa" w:w="1296"/>
            <w:shd w:fill="FFFFFF"/>
            <w:tcMar>
              <w:top w:w="70" w:type="dxa"/>
              <w:bottom w:w="70" w:type="dxa"/>
              <w:left w:w="80" w:type="dxa"/>
              <w:right w:w="80" w:type="dxa"/>
            </w:tcMar>
          </w:tcPr>
          <w:p>
            <w:r>
              <w:rPr>
                <w:sz w:val="17"/>
              </w:rPr>
              <w:t>-$10,000.00</w:t>
            </w:r>
          </w:p>
        </w:tc>
        <w:tc>
          <w:tcPr>
            <w:tcW w:type="dxa" w:w="1152"/>
            <w:shd w:fill="FFFFFF"/>
            <w:tcMar>
              <w:top w:w="70" w:type="dxa"/>
              <w:bottom w:w="70" w:type="dxa"/>
              <w:left w:w="80" w:type="dxa"/>
              <w:right w:w="80" w:type="dxa"/>
            </w:tcMar>
          </w:tcPr>
          <w:p>
            <w:r>
              <w:rPr>
                <w:sz w:val="17"/>
              </w:rPr>
              <w:t>-</w:t>
            </w:r>
          </w:p>
        </w:tc>
      </w:tr>
      <w:tr>
        <w:tc>
          <w:tcPr>
            <w:tcW w:type="dxa" w:w="720"/>
            <w:shd w:fill="F9FBFD"/>
            <w:tcMar>
              <w:top w:w="70" w:type="dxa"/>
              <w:bottom w:w="70" w:type="dxa"/>
              <w:left w:w="80" w:type="dxa"/>
              <w:right w:w="80" w:type="dxa"/>
            </w:tcMar>
          </w:tcPr>
          <w:p>
            <w:r>
              <w:rPr>
                <w:sz w:val="17"/>
              </w:rPr>
              <w:t>30</w:t>
            </w:r>
          </w:p>
        </w:tc>
        <w:tc>
          <w:tcPr>
            <w:tcW w:type="dxa" w:w="1584"/>
            <w:shd w:fill="F9FBFD"/>
            <w:tcMar>
              <w:top w:w="70" w:type="dxa"/>
              <w:bottom w:w="70" w:type="dxa"/>
              <w:left w:w="80" w:type="dxa"/>
              <w:right w:w="80" w:type="dxa"/>
            </w:tcMar>
          </w:tcPr>
          <w:p>
            <w:r>
              <w:rPr>
                <w:sz w:val="17"/>
              </w:rPr>
              <w:t>K005</w:t>
            </w:r>
          </w:p>
        </w:tc>
        <w:tc>
          <w:tcPr>
            <w:tcW w:type="dxa" w:w="3024"/>
            <w:shd w:fill="F9FBFD"/>
            <w:tcMar>
              <w:top w:w="70" w:type="dxa"/>
              <w:bottom w:w="70" w:type="dxa"/>
              <w:left w:w="80" w:type="dxa"/>
              <w:right w:w="80" w:type="dxa"/>
            </w:tcMar>
          </w:tcPr>
          <w:p>
            <w:r>
              <w:rPr>
                <w:sz w:val="17"/>
              </w:rPr>
              <w:t>Quantity Discount</w:t>
            </w:r>
          </w:p>
        </w:tc>
        <w:tc>
          <w:tcPr>
            <w:tcW w:type="dxa" w:w="1584"/>
            <w:shd w:fill="F9FBFD"/>
            <w:tcMar>
              <w:top w:w="70" w:type="dxa"/>
              <w:bottom w:w="70" w:type="dxa"/>
              <w:left w:w="80" w:type="dxa"/>
              <w:right w:w="80" w:type="dxa"/>
            </w:tcMar>
          </w:tcPr>
          <w:p>
            <w:r>
              <w:rPr>
                <w:sz w:val="17"/>
              </w:rPr>
              <w:t>-5.00% (on Net 1)</w:t>
            </w:r>
          </w:p>
        </w:tc>
        <w:tc>
          <w:tcPr>
            <w:tcW w:type="dxa" w:w="1296"/>
            <w:shd w:fill="F9FBFD"/>
            <w:tcMar>
              <w:top w:w="70" w:type="dxa"/>
              <w:bottom w:w="70" w:type="dxa"/>
              <w:left w:w="80" w:type="dxa"/>
              <w:right w:w="80" w:type="dxa"/>
            </w:tcMar>
          </w:tcPr>
          <w:p>
            <w:r>
              <w:rPr>
                <w:sz w:val="17"/>
              </w:rPr>
              <w:t>-$4,500.00</w:t>
            </w:r>
          </w:p>
        </w:tc>
        <w:tc>
          <w:tcPr>
            <w:tcW w:type="dxa" w:w="1152"/>
            <w:shd w:fill="F9FBFD"/>
            <w:tcMar>
              <w:top w:w="70" w:type="dxa"/>
              <w:bottom w:w="70" w:type="dxa"/>
              <w:left w:w="80" w:type="dxa"/>
              <w:right w:w="80" w:type="dxa"/>
            </w:tcMar>
          </w:tcPr>
          <w:p>
            <w:r>
              <w:rPr>
                <w:sz w:val="17"/>
              </w:rPr>
              <w:t>Subtotal 2 (Net Price)</w:t>
            </w:r>
          </w:p>
        </w:tc>
      </w:tr>
      <w:tr>
        <w:tc>
          <w:tcPr>
            <w:tcW w:type="dxa" w:w="720"/>
            <w:shd w:fill="FFFFFF"/>
            <w:tcMar>
              <w:top w:w="70" w:type="dxa"/>
              <w:bottom w:w="70" w:type="dxa"/>
              <w:left w:w="80" w:type="dxa"/>
              <w:right w:w="80" w:type="dxa"/>
            </w:tcMar>
          </w:tcPr>
          <w:p>
            <w:r>
              <w:rPr>
                <w:sz w:val="17"/>
              </w:rPr>
              <w:t>40</w:t>
            </w:r>
          </w:p>
        </w:tc>
        <w:tc>
          <w:tcPr>
            <w:tcW w:type="dxa" w:w="1584"/>
            <w:shd w:fill="FFFFFF"/>
            <w:tcMar>
              <w:top w:w="70" w:type="dxa"/>
              <w:bottom w:w="70" w:type="dxa"/>
              <w:left w:w="80" w:type="dxa"/>
              <w:right w:w="80" w:type="dxa"/>
            </w:tcMar>
          </w:tcPr>
          <w:p>
            <w:r>
              <w:rPr>
                <w:sz w:val="17"/>
              </w:rPr>
              <w:t>HD00</w:t>
            </w:r>
          </w:p>
        </w:tc>
        <w:tc>
          <w:tcPr>
            <w:tcW w:type="dxa" w:w="3024"/>
            <w:shd w:fill="FFFFFF"/>
            <w:tcMar>
              <w:top w:w="70" w:type="dxa"/>
              <w:bottom w:w="70" w:type="dxa"/>
              <w:left w:w="80" w:type="dxa"/>
              <w:right w:w="80" w:type="dxa"/>
            </w:tcMar>
          </w:tcPr>
          <w:p>
            <w:r>
              <w:rPr>
                <w:sz w:val="17"/>
              </w:rPr>
              <w:t>Freight Surcharge</w:t>
            </w:r>
          </w:p>
        </w:tc>
        <w:tc>
          <w:tcPr>
            <w:tcW w:type="dxa" w:w="1584"/>
            <w:shd w:fill="FFFFFF"/>
            <w:tcMar>
              <w:top w:w="70" w:type="dxa"/>
              <w:bottom w:w="70" w:type="dxa"/>
              <w:left w:w="80" w:type="dxa"/>
              <w:right w:w="80" w:type="dxa"/>
            </w:tcMar>
          </w:tcPr>
          <w:p>
            <w:r>
              <w:rPr>
                <w:sz w:val="17"/>
              </w:rPr>
              <w:t>$2,500.00 Fixed</w:t>
            </w:r>
          </w:p>
        </w:tc>
        <w:tc>
          <w:tcPr>
            <w:tcW w:type="dxa" w:w="1296"/>
            <w:shd w:fill="FFFFFF"/>
            <w:tcMar>
              <w:top w:w="70" w:type="dxa"/>
              <w:bottom w:w="70" w:type="dxa"/>
              <w:left w:w="80" w:type="dxa"/>
              <w:right w:w="80" w:type="dxa"/>
            </w:tcMar>
          </w:tcPr>
          <w:p>
            <w:r>
              <w:rPr>
                <w:sz w:val="17"/>
              </w:rPr>
              <w:t>+$2,500.00</w:t>
            </w:r>
          </w:p>
        </w:tc>
        <w:tc>
          <w:tcPr>
            <w:tcW w:type="dxa" w:w="1152"/>
            <w:shd w:fill="FFFFFF"/>
            <w:tcMar>
              <w:top w:w="70" w:type="dxa"/>
              <w:bottom w:w="70" w:type="dxa"/>
              <w:left w:w="80" w:type="dxa"/>
              <w:right w:w="80" w:type="dxa"/>
            </w:tcMar>
          </w:tcPr>
          <w:p>
            <w:r>
              <w:rPr>
                <w:sz w:val="17"/>
              </w:rPr>
              <w:t>Subtotal 3 (Net Value)</w:t>
            </w:r>
          </w:p>
        </w:tc>
      </w:tr>
      <w:tr>
        <w:tc>
          <w:tcPr>
            <w:tcW w:type="dxa" w:w="720"/>
            <w:shd w:fill="F9FBFD"/>
            <w:tcMar>
              <w:top w:w="70" w:type="dxa"/>
              <w:bottom w:w="70" w:type="dxa"/>
              <w:left w:w="80" w:type="dxa"/>
              <w:right w:w="80" w:type="dxa"/>
            </w:tcMar>
          </w:tcPr>
          <w:p>
            <w:r>
              <w:rPr>
                <w:sz w:val="17"/>
              </w:rPr>
              <w:t>50</w:t>
            </w:r>
          </w:p>
        </w:tc>
        <w:tc>
          <w:tcPr>
            <w:tcW w:type="dxa" w:w="1584"/>
            <w:shd w:fill="F9FBFD"/>
            <w:tcMar>
              <w:top w:w="70" w:type="dxa"/>
              <w:bottom w:w="70" w:type="dxa"/>
              <w:left w:w="80" w:type="dxa"/>
              <w:right w:w="80" w:type="dxa"/>
            </w:tcMar>
          </w:tcPr>
          <w:p>
            <w:r>
              <w:rPr>
                <w:sz w:val="17"/>
              </w:rPr>
              <w:t>MWST</w:t>
            </w:r>
          </w:p>
        </w:tc>
        <w:tc>
          <w:tcPr>
            <w:tcW w:type="dxa" w:w="3024"/>
            <w:shd w:fill="F9FBFD"/>
            <w:tcMar>
              <w:top w:w="70" w:type="dxa"/>
              <w:bottom w:w="70" w:type="dxa"/>
              <w:left w:w="80" w:type="dxa"/>
              <w:right w:w="80" w:type="dxa"/>
            </w:tcMar>
          </w:tcPr>
          <w:p>
            <w:r>
              <w:rPr>
                <w:sz w:val="17"/>
              </w:rPr>
              <w:t>Output Tax (VAT)</w:t>
            </w:r>
          </w:p>
        </w:tc>
        <w:tc>
          <w:tcPr>
            <w:tcW w:type="dxa" w:w="1584"/>
            <w:shd w:fill="F9FBFD"/>
            <w:tcMar>
              <w:top w:w="70" w:type="dxa"/>
              <w:bottom w:w="70" w:type="dxa"/>
              <w:left w:w="80" w:type="dxa"/>
              <w:right w:w="80" w:type="dxa"/>
            </w:tcMar>
          </w:tcPr>
          <w:p>
            <w:r>
              <w:rPr>
                <w:sz w:val="17"/>
              </w:rPr>
              <w:t>19.00% (on Net Value)</w:t>
            </w:r>
          </w:p>
        </w:tc>
        <w:tc>
          <w:tcPr>
            <w:tcW w:type="dxa" w:w="1296"/>
            <w:shd w:fill="F9FBFD"/>
            <w:tcMar>
              <w:top w:w="70" w:type="dxa"/>
              <w:bottom w:w="70" w:type="dxa"/>
              <w:left w:w="80" w:type="dxa"/>
              <w:right w:w="80" w:type="dxa"/>
            </w:tcMar>
          </w:tcPr>
          <w:p>
            <w:r>
              <w:rPr>
                <w:sz w:val="17"/>
              </w:rPr>
              <w:t>+$16,720.00</w:t>
            </w:r>
          </w:p>
        </w:tc>
        <w:tc>
          <w:tcPr>
            <w:tcW w:type="dxa" w:w="1152"/>
            <w:shd w:fill="F9FBFD"/>
            <w:tcMar>
              <w:top w:w="70" w:type="dxa"/>
              <w:bottom w:w="70" w:type="dxa"/>
              <w:left w:w="80" w:type="dxa"/>
              <w:right w:w="80" w:type="dxa"/>
            </w:tcMar>
          </w:tcPr>
          <w:p>
            <w:r>
              <w:rPr>
                <w:sz w:val="17"/>
              </w:rPr>
              <w:t>Subtotal 4 (Tax)</w:t>
            </w:r>
          </w:p>
        </w:tc>
      </w:tr>
      <w:tr>
        <w:tc>
          <w:tcPr>
            <w:tcW w:type="dxa" w:w="720"/>
            <w:shd w:fill="EBF3FA"/>
            <w:tcMar>
              <w:top w:w="70" w:type="dxa"/>
              <w:bottom w:w="70" w:type="dxa"/>
              <w:left w:w="80" w:type="dxa"/>
              <w:right w:w="80" w:type="dxa"/>
            </w:tcMar>
          </w:tcPr>
          <w:p>
            <w:r>
              <w:rPr>
                <w:b/>
                <w:sz w:val="17"/>
              </w:rPr>
              <w:t>60</w:t>
            </w:r>
          </w:p>
        </w:tc>
        <w:tc>
          <w:tcPr>
            <w:tcW w:type="dxa" w:w="1584"/>
            <w:shd w:fill="EBF3FA"/>
            <w:tcMar>
              <w:top w:w="70" w:type="dxa"/>
              <w:bottom w:w="70" w:type="dxa"/>
              <w:left w:w="80" w:type="dxa"/>
              <w:right w:w="80" w:type="dxa"/>
            </w:tcMar>
          </w:tcPr>
          <w:p>
            <w:r>
              <w:rPr>
                <w:b/>
                <w:sz w:val="17"/>
              </w:rPr>
              <w:t>TOTAL</w:t>
            </w:r>
          </w:p>
        </w:tc>
        <w:tc>
          <w:tcPr>
            <w:tcW w:type="dxa" w:w="3024"/>
            <w:shd w:fill="EBF3FA"/>
            <w:tcMar>
              <w:top w:w="70" w:type="dxa"/>
              <w:bottom w:w="70" w:type="dxa"/>
              <w:left w:w="80" w:type="dxa"/>
              <w:right w:w="80" w:type="dxa"/>
            </w:tcMar>
          </w:tcPr>
          <w:p>
            <w:r>
              <w:rPr>
                <w:b/>
                <w:sz w:val="17"/>
              </w:rPr>
              <w:t>Final Customer Invoice</w:t>
            </w:r>
          </w:p>
        </w:tc>
        <w:tc>
          <w:tcPr>
            <w:tcW w:type="dxa" w:w="1584"/>
            <w:shd w:fill="EBF3FA"/>
            <w:tcMar>
              <w:top w:w="70" w:type="dxa"/>
              <w:bottom w:w="70" w:type="dxa"/>
              <w:left w:w="80" w:type="dxa"/>
              <w:right w:w="80" w:type="dxa"/>
            </w:tcMar>
          </w:tcPr>
          <w:p>
            <w:r>
              <w:rPr>
                <w:b/>
                <w:sz w:val="17"/>
              </w:rPr>
              <w:t>-</w:t>
            </w:r>
          </w:p>
        </w:tc>
        <w:tc>
          <w:tcPr>
            <w:tcW w:type="dxa" w:w="1296"/>
            <w:shd w:fill="EBF3FA"/>
            <w:tcMar>
              <w:top w:w="70" w:type="dxa"/>
              <w:bottom w:w="70" w:type="dxa"/>
              <w:left w:w="80" w:type="dxa"/>
              <w:right w:w="80" w:type="dxa"/>
            </w:tcMar>
          </w:tcPr>
          <w:p>
            <w:r>
              <w:rPr>
                <w:b/>
                <w:sz w:val="17"/>
              </w:rPr>
              <w:t>$104,720.00</w:t>
            </w:r>
          </w:p>
        </w:tc>
        <w:tc>
          <w:tcPr>
            <w:tcW w:type="dxa" w:w="1152"/>
            <w:shd w:fill="EBF3FA"/>
            <w:tcMar>
              <w:top w:w="70" w:type="dxa"/>
              <w:bottom w:w="70" w:type="dxa"/>
              <w:left w:w="80" w:type="dxa"/>
              <w:right w:w="80" w:type="dxa"/>
            </w:tcMar>
          </w:tcPr>
          <w:p>
            <w:r>
              <w:rPr>
                <w:b/>
                <w:sz w:val="17"/>
              </w:rPr>
              <w:t>Final Payable</w:t>
            </w:r>
          </w:p>
        </w:tc>
      </w:tr>
    </w:tbl>
    <w:p>
      <w:pPr>
        <w:spacing w:after="120"/>
      </w:pPr>
    </w:p>
    <w:p>
      <w:pPr>
        <w:keepNext/>
        <w:spacing w:before="320" w:after="120"/>
      </w:pPr>
      <w:r>
        <w:rPr>
          <w:rFonts w:ascii="Arial" w:hAnsi="Arial"/>
          <w:b/>
          <w:color w:val="1B365D"/>
          <w:sz w:val="28"/>
        </w:rPr>
        <w:t>4. Detailed SAP SD Configuration Steps</w:t>
      </w:r>
    </w:p>
    <w:p>
      <w:pPr>
        <w:spacing w:after="120"/>
      </w:pPr>
      <w:r>
        <w:t>The execution of the above pricing model requires sequential configuration across SAP S/4HANA SPRO customizing menus. Below are the precise technical steps and parameters.</w:t>
      </w:r>
    </w:p>
    <w:p>
      <w:pPr>
        <w:keepNext/>
        <w:spacing w:before="240" w:after="80"/>
      </w:pPr>
      <w:r>
        <w:rPr>
          <w:rFonts w:ascii="Arial" w:hAnsi="Arial"/>
          <w:b/>
          <w:color w:val="2E5B88"/>
          <w:sz w:val="24"/>
        </w:rPr>
        <w:t>Step 1: Define Condition Tables (SPRO -&gt; S&amp;D -&gt; Basic Functions -&gt; Pricing Control -&gt; Define Condition Tables)</w:t>
      </w:r>
    </w:p>
    <w:p>
      <w:pPr>
        <w:spacing w:after="80"/>
      </w:pPr>
      <w:r>
        <w:t xml:space="preserve">Create custom Condition Table 905 combining: </w:t>
      </w:r>
      <w:r>
        <w:rPr>
          <w:b/>
        </w:rPr>
        <w:t>Sales Org / Distribution Channel / Customer / Material</w:t>
      </w:r>
      <w:r>
        <w:t>. This allows exact pricing overrides for key accounts.</w:t>
      </w:r>
    </w:p>
    <w:p>
      <w:pPr>
        <w:keepNext/>
        <w:spacing w:before="240" w:after="80"/>
      </w:pPr>
      <w:r>
        <w:rPr>
          <w:rFonts w:ascii="Arial" w:hAnsi="Arial"/>
          <w:b/>
          <w:color w:val="2E5B88"/>
          <w:sz w:val="24"/>
        </w:rPr>
        <w:t>Step 2: Define Access Sequences (Transaction V/07)</w:t>
      </w:r>
    </w:p>
    <w:p>
      <w:pPr>
        <w:spacing w:after="80"/>
      </w:pPr>
      <w:r>
        <w:t xml:space="preserve">Create Access Sequence </w:t>
      </w:r>
      <w:r>
        <w:rPr>
          <w:b/>
        </w:rPr>
        <w:t>Z001</w:t>
      </w:r>
      <w:r>
        <w:t xml:space="preserve"> with exclusive access priority:</w:t>
      </w:r>
      <w:r>
        <w:br/>
        <w:t xml:space="preserve">  1. Access 10: Table 905 (Customer/Material Specific)</w:t>
      </w:r>
      <w:r>
        <w:br/>
        <w:t xml:space="preserve">  2. Access 20: Table 005 (Customer Group/Material)</w:t>
      </w:r>
      <w:r>
        <w:br/>
        <w:t xml:space="preserve">  3. Access 30: Table 004 (Material Standard Price)</w:t>
      </w:r>
    </w:p>
    <w:p>
      <w:pPr>
        <w:keepNext/>
        <w:spacing w:before="240" w:after="80"/>
      </w:pPr>
      <w:r>
        <w:rPr>
          <w:rFonts w:ascii="Arial" w:hAnsi="Arial"/>
          <w:b/>
          <w:color w:val="2E5B88"/>
          <w:sz w:val="24"/>
        </w:rPr>
        <w:t>Step 3: Define Condition Types (Transaction V/06)</w:t>
      </w:r>
    </w:p>
    <w:p>
      <w:pPr>
        <w:spacing w:after="80"/>
      </w:pPr>
      <w:r>
        <w:t>Configure condition control parameters for each custom condition type: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440"/>
            <w:shd w:fill="1B365D"/>
          </w:tcPr>
          <w:p>
            <w:r>
              <w:rPr>
                <w:b/>
                <w:color w:val="FFFFFF"/>
                <w:sz w:val="18"/>
              </w:rPr>
              <w:t>Cond Type</w:t>
            </w:r>
          </w:p>
        </w:tc>
        <w:tc>
          <w:tcPr>
            <w:tcW w:type="dxa" w:w="1872"/>
            <w:shd w:fill="1B365D"/>
          </w:tcPr>
          <w:p>
            <w:r>
              <w:rPr>
                <w:b/>
                <w:color w:val="FFFFFF"/>
                <w:sz w:val="18"/>
              </w:rPr>
              <w:t>Cond Class</w:t>
            </w:r>
          </w:p>
        </w:tc>
        <w:tc>
          <w:tcPr>
            <w:tcW w:type="dxa" w:w="2016"/>
            <w:shd w:fill="1B365D"/>
          </w:tcPr>
          <w:p>
            <w:r>
              <w:rPr>
                <w:b/>
                <w:color w:val="FFFFFF"/>
                <w:sz w:val="18"/>
              </w:rPr>
              <w:t>Calculat. Type</w:t>
            </w:r>
          </w:p>
        </w:tc>
        <w:tc>
          <w:tcPr>
            <w:tcW w:type="dxa" w:w="1872"/>
            <w:shd w:fill="1B365D"/>
          </w:tcPr>
          <w:p>
            <w:r>
              <w:rPr>
                <w:b/>
                <w:color w:val="FFFFFF"/>
                <w:sz w:val="18"/>
              </w:rPr>
              <w:t>Access Seq</w:t>
            </w:r>
          </w:p>
        </w:tc>
        <w:tc>
          <w:tcPr>
            <w:tcW w:type="dxa" w:w="2160"/>
            <w:shd w:fill="1B365D"/>
          </w:tcPr>
          <w:p>
            <w:r>
              <w:rPr>
                <w:b/>
                <w:color w:val="FFFFFF"/>
                <w:sz w:val="18"/>
              </w:rPr>
              <w:t>Manual Changes</w:t>
            </w:r>
          </w:p>
        </w:tc>
      </w:tr>
      <w:tr>
        <w:tc>
          <w:tcPr>
            <w:tcW w:type="dxa" w:w="1440"/>
            <w:shd w:fill="F9FBFD"/>
            <w:tcMar>
              <w:top w:w="70" w:type="dxa"/>
              <w:bottom w:w="70" w:type="dxa"/>
              <w:left w:w="80" w:type="dxa"/>
              <w:right w:w="80" w:type="dxa"/>
            </w:tcMar>
          </w:tcPr>
          <w:p>
            <w:r>
              <w:rPr>
                <w:sz w:val="17"/>
              </w:rPr>
              <w:t>PR00</w:t>
            </w:r>
          </w:p>
        </w:tc>
        <w:tc>
          <w:tcPr>
            <w:tcW w:type="dxa" w:w="1872"/>
            <w:shd w:fill="F9FBFD"/>
            <w:tcMar>
              <w:top w:w="70" w:type="dxa"/>
              <w:bottom w:w="70" w:type="dxa"/>
              <w:left w:w="80" w:type="dxa"/>
              <w:right w:w="80" w:type="dxa"/>
            </w:tcMar>
          </w:tcPr>
          <w:p>
            <w:r>
              <w:rPr>
                <w:sz w:val="17"/>
              </w:rPr>
              <w:t>A (Discount/Surcharge)</w:t>
            </w:r>
          </w:p>
        </w:tc>
        <w:tc>
          <w:tcPr>
            <w:tcW w:type="dxa" w:w="2016"/>
            <w:shd w:fill="F9FBFD"/>
            <w:tcMar>
              <w:top w:w="70" w:type="dxa"/>
              <w:bottom w:w="70" w:type="dxa"/>
              <w:left w:w="80" w:type="dxa"/>
              <w:right w:w="80" w:type="dxa"/>
            </w:tcMar>
          </w:tcPr>
          <w:p>
            <w:r>
              <w:rPr>
                <w:sz w:val="17"/>
              </w:rPr>
              <w:t>C (Quantity)</w:t>
            </w:r>
          </w:p>
        </w:tc>
        <w:tc>
          <w:tcPr>
            <w:tcW w:type="dxa" w:w="1872"/>
            <w:shd w:fill="F9FBFD"/>
            <w:tcMar>
              <w:top w:w="70" w:type="dxa"/>
              <w:bottom w:w="70" w:type="dxa"/>
              <w:left w:w="80" w:type="dxa"/>
              <w:right w:w="80" w:type="dxa"/>
            </w:tcMar>
          </w:tcPr>
          <w:p>
            <w:r>
              <w:rPr>
                <w:sz w:val="17"/>
              </w:rPr>
              <w:t>Z001</w:t>
            </w:r>
          </w:p>
        </w:tc>
        <w:tc>
          <w:tcPr>
            <w:tcW w:type="dxa" w:w="2160"/>
            <w:shd w:fill="F9FBFD"/>
            <w:tcMar>
              <w:top w:w="70" w:type="dxa"/>
              <w:bottom w:w="70" w:type="dxa"/>
              <w:left w:w="80" w:type="dxa"/>
              <w:right w:w="80" w:type="dxa"/>
            </w:tcMar>
          </w:tcPr>
          <w:p>
            <w:r>
              <w:rPr>
                <w:sz w:val="17"/>
              </w:rPr>
              <w:t>C (Manual entry has priority)</w:t>
            </w:r>
          </w:p>
        </w:tc>
      </w:tr>
      <w:tr>
        <w:tc>
          <w:tcPr>
            <w:tcW w:type="dxa" w:w="1440"/>
            <w:shd w:fill="FFFFFF"/>
            <w:tcMar>
              <w:top w:w="70" w:type="dxa"/>
              <w:bottom w:w="70" w:type="dxa"/>
              <w:left w:w="80" w:type="dxa"/>
              <w:right w:w="80" w:type="dxa"/>
            </w:tcMar>
          </w:tcPr>
          <w:p>
            <w:r>
              <w:rPr>
                <w:sz w:val="17"/>
              </w:rPr>
              <w:t>K007</w:t>
            </w:r>
          </w:p>
        </w:tc>
        <w:tc>
          <w:tcPr>
            <w:tcW w:type="dxa" w:w="1872"/>
            <w:shd w:fill="FFFFFF"/>
            <w:tcMar>
              <w:top w:w="70" w:type="dxa"/>
              <w:bottom w:w="70" w:type="dxa"/>
              <w:left w:w="80" w:type="dxa"/>
              <w:right w:w="80" w:type="dxa"/>
            </w:tcMar>
          </w:tcPr>
          <w:p>
            <w:r>
              <w:rPr>
                <w:sz w:val="17"/>
              </w:rPr>
              <w:t>A (Discount/Surcharge)</w:t>
            </w:r>
          </w:p>
        </w:tc>
        <w:tc>
          <w:tcPr>
            <w:tcW w:type="dxa" w:w="2016"/>
            <w:shd w:fill="FFFFFF"/>
            <w:tcMar>
              <w:top w:w="70" w:type="dxa"/>
              <w:bottom w:w="70" w:type="dxa"/>
              <w:left w:w="80" w:type="dxa"/>
              <w:right w:w="80" w:type="dxa"/>
            </w:tcMar>
          </w:tcPr>
          <w:p>
            <w:r>
              <w:rPr>
                <w:sz w:val="17"/>
              </w:rPr>
              <w:t>A (Percentage)</w:t>
            </w:r>
          </w:p>
        </w:tc>
        <w:tc>
          <w:tcPr>
            <w:tcW w:type="dxa" w:w="1872"/>
            <w:shd w:fill="FFFFFF"/>
            <w:tcMar>
              <w:top w:w="70" w:type="dxa"/>
              <w:bottom w:w="70" w:type="dxa"/>
              <w:left w:w="80" w:type="dxa"/>
              <w:right w:w="80" w:type="dxa"/>
            </w:tcMar>
          </w:tcPr>
          <w:p>
            <w:r>
              <w:rPr>
                <w:sz w:val="17"/>
              </w:rPr>
              <w:t>0007</w:t>
            </w:r>
          </w:p>
        </w:tc>
        <w:tc>
          <w:tcPr>
            <w:tcW w:type="dxa" w:w="2160"/>
            <w:shd w:fill="FFFFFF"/>
            <w:tcMar>
              <w:top w:w="70" w:type="dxa"/>
              <w:bottom w:w="70" w:type="dxa"/>
              <w:left w:w="80" w:type="dxa"/>
              <w:right w:w="80" w:type="dxa"/>
            </w:tcMar>
          </w:tcPr>
          <w:p>
            <w:r>
              <w:rPr>
                <w:sz w:val="17"/>
              </w:rPr>
              <w:t>D (Not possible to change)</w:t>
            </w:r>
          </w:p>
        </w:tc>
      </w:tr>
      <w:tr>
        <w:tc>
          <w:tcPr>
            <w:tcW w:type="dxa" w:w="1440"/>
            <w:shd w:fill="F9FBFD"/>
            <w:tcMar>
              <w:top w:w="70" w:type="dxa"/>
              <w:bottom w:w="70" w:type="dxa"/>
              <w:left w:w="80" w:type="dxa"/>
              <w:right w:w="80" w:type="dxa"/>
            </w:tcMar>
          </w:tcPr>
          <w:p>
            <w:r>
              <w:rPr>
                <w:sz w:val="17"/>
              </w:rPr>
              <w:t>HD00</w:t>
            </w:r>
          </w:p>
        </w:tc>
        <w:tc>
          <w:tcPr>
            <w:tcW w:type="dxa" w:w="1872"/>
            <w:shd w:fill="F9FBFD"/>
            <w:tcMar>
              <w:top w:w="70" w:type="dxa"/>
              <w:bottom w:w="70" w:type="dxa"/>
              <w:left w:w="80" w:type="dxa"/>
              <w:right w:w="80" w:type="dxa"/>
            </w:tcMar>
          </w:tcPr>
          <w:p>
            <w:r>
              <w:rPr>
                <w:sz w:val="17"/>
              </w:rPr>
              <w:t>A (Discount/Surcharge)</w:t>
            </w:r>
          </w:p>
        </w:tc>
        <w:tc>
          <w:tcPr>
            <w:tcW w:type="dxa" w:w="2016"/>
            <w:shd w:fill="F9FBFD"/>
            <w:tcMar>
              <w:top w:w="70" w:type="dxa"/>
              <w:bottom w:w="70" w:type="dxa"/>
              <w:left w:w="80" w:type="dxa"/>
              <w:right w:w="80" w:type="dxa"/>
            </w:tcMar>
          </w:tcPr>
          <w:p>
            <w:r>
              <w:rPr>
                <w:sz w:val="17"/>
              </w:rPr>
              <w:t>B (Fixed Amount)</w:t>
            </w:r>
          </w:p>
        </w:tc>
        <w:tc>
          <w:tcPr>
            <w:tcW w:type="dxa" w:w="1872"/>
            <w:shd w:fill="F9FBFD"/>
            <w:tcMar>
              <w:top w:w="70" w:type="dxa"/>
              <w:bottom w:w="70" w:type="dxa"/>
              <w:left w:w="80" w:type="dxa"/>
              <w:right w:w="80" w:type="dxa"/>
            </w:tcMar>
          </w:tcPr>
          <w:p>
            <w:r>
              <w:rPr>
                <w:sz w:val="17"/>
              </w:rPr>
              <w:t>None</w:t>
            </w:r>
          </w:p>
        </w:tc>
        <w:tc>
          <w:tcPr>
            <w:tcW w:type="dxa" w:w="2160"/>
            <w:shd w:fill="F9FBFD"/>
            <w:tcMar>
              <w:top w:w="70" w:type="dxa"/>
              <w:bottom w:w="70" w:type="dxa"/>
              <w:left w:w="80" w:type="dxa"/>
              <w:right w:w="80" w:type="dxa"/>
            </w:tcMar>
          </w:tcPr>
          <w:p>
            <w:r>
              <w:rPr>
                <w:sz w:val="17"/>
              </w:rPr>
              <w:t>C (Manual entry has priority)</w:t>
            </w:r>
          </w:p>
        </w:tc>
      </w:tr>
      <w:tr>
        <w:tc>
          <w:tcPr>
            <w:tcW w:type="dxa" w:w="1440"/>
            <w:shd w:fill="FFFFFF"/>
            <w:tcMar>
              <w:top w:w="70" w:type="dxa"/>
              <w:bottom w:w="70" w:type="dxa"/>
              <w:left w:w="80" w:type="dxa"/>
              <w:right w:w="80" w:type="dxa"/>
            </w:tcMar>
          </w:tcPr>
          <w:p>
            <w:r>
              <w:rPr>
                <w:sz w:val="17"/>
              </w:rPr>
              <w:t>MWST</w:t>
            </w:r>
          </w:p>
        </w:tc>
        <w:tc>
          <w:tcPr>
            <w:tcW w:type="dxa" w:w="1872"/>
            <w:shd w:fill="FFFFFF"/>
            <w:tcMar>
              <w:top w:w="70" w:type="dxa"/>
              <w:bottom w:w="70" w:type="dxa"/>
              <w:left w:w="80" w:type="dxa"/>
              <w:right w:w="80" w:type="dxa"/>
            </w:tcMar>
          </w:tcPr>
          <w:p>
            <w:r>
              <w:rPr>
                <w:sz w:val="17"/>
              </w:rPr>
              <w:t>D (Taxes)</w:t>
            </w:r>
          </w:p>
        </w:tc>
        <w:tc>
          <w:tcPr>
            <w:tcW w:type="dxa" w:w="2016"/>
            <w:shd w:fill="FFFFFF"/>
            <w:tcMar>
              <w:top w:w="70" w:type="dxa"/>
              <w:bottom w:w="70" w:type="dxa"/>
              <w:left w:w="80" w:type="dxa"/>
              <w:right w:w="80" w:type="dxa"/>
            </w:tcMar>
          </w:tcPr>
          <w:p>
            <w:r>
              <w:rPr>
                <w:sz w:val="17"/>
              </w:rPr>
              <w:t>A (Percentage)</w:t>
            </w:r>
          </w:p>
        </w:tc>
        <w:tc>
          <w:tcPr>
            <w:tcW w:type="dxa" w:w="1872"/>
            <w:shd w:fill="FFFFFF"/>
            <w:tcMar>
              <w:top w:w="70" w:type="dxa"/>
              <w:bottom w:w="70" w:type="dxa"/>
              <w:left w:w="80" w:type="dxa"/>
              <w:right w:w="80" w:type="dxa"/>
            </w:tcMar>
          </w:tcPr>
          <w:p>
            <w:r>
              <w:rPr>
                <w:sz w:val="17"/>
              </w:rPr>
              <w:t>MWST</w:t>
            </w:r>
          </w:p>
        </w:tc>
        <w:tc>
          <w:tcPr>
            <w:tcW w:type="dxa" w:w="2160"/>
            <w:shd w:fill="FFFFFF"/>
            <w:tcMar>
              <w:top w:w="70" w:type="dxa"/>
              <w:bottom w:w="70" w:type="dxa"/>
              <w:left w:w="80" w:type="dxa"/>
              <w:right w:w="80" w:type="dxa"/>
            </w:tcMar>
          </w:tcPr>
          <w:p>
            <w:r>
              <w:rPr>
                <w:sz w:val="17"/>
              </w:rPr>
              <w:t>D (Not possible to change)</w:t>
            </w:r>
          </w:p>
        </w:tc>
      </w:tr>
    </w:tbl>
    <w:p>
      <w:pPr>
        <w:spacing w:after="120"/>
      </w:pPr>
    </w:p>
    <w:p>
      <w:pPr>
        <w:keepNext/>
        <w:spacing w:before="240" w:after="80"/>
      </w:pPr>
      <w:r>
        <w:rPr>
          <w:rFonts w:ascii="Arial" w:hAnsi="Arial"/>
          <w:b/>
          <w:color w:val="2E5B88"/>
          <w:sz w:val="24"/>
        </w:rPr>
        <w:t>Step 4: Maintain Pricing Procedure (Transaction V/08)</w:t>
      </w:r>
    </w:p>
    <w:p>
      <w:pPr>
        <w:spacing w:after="80"/>
      </w:pPr>
      <w:r>
        <w:t xml:space="preserve">Configure Pricing Procedure </w:t>
      </w:r>
      <w:r>
        <w:rPr>
          <w:b/>
        </w:rPr>
        <w:t>ZAPX01 (Apex Standard Enterprise Pricing)</w:t>
      </w:r>
      <w:r>
        <w:t xml:space="preserve"> with step logic, subtotals, and account assignment keys: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40"/>
        <w:gridCol w:w="1040"/>
        <w:gridCol w:w="1040"/>
        <w:gridCol w:w="1040"/>
        <w:gridCol w:w="1040"/>
        <w:gridCol w:w="1040"/>
        <w:gridCol w:w="1040"/>
        <w:gridCol w:w="1040"/>
        <w:gridCol w:w="1040"/>
      </w:tblGrid>
      <w:tr>
        <w:tc>
          <w:tcPr>
            <w:tcW w:type="dxa" w:w="576"/>
            <w:shd w:fill="1B365D"/>
          </w:tcPr>
          <w:p>
            <w:r>
              <w:rPr>
                <w:b/>
                <w:color w:val="FFFFFF"/>
                <w:sz w:val="16"/>
              </w:rPr>
              <w:t>Step</w:t>
            </w:r>
          </w:p>
        </w:tc>
        <w:tc>
          <w:tcPr>
            <w:tcW w:type="dxa" w:w="576"/>
            <w:shd w:fill="1B365D"/>
          </w:tcPr>
          <w:p>
            <w:r>
              <w:rPr>
                <w:b/>
                <w:color w:val="FFFFFF"/>
                <w:sz w:val="16"/>
              </w:rPr>
              <w:t>Counter</w:t>
            </w:r>
          </w:p>
        </w:tc>
        <w:tc>
          <w:tcPr>
            <w:tcW w:type="dxa" w:w="1152"/>
            <w:shd w:fill="1B365D"/>
          </w:tcPr>
          <w:p>
            <w:r>
              <w:rPr>
                <w:b/>
                <w:color w:val="FFFFFF"/>
                <w:sz w:val="16"/>
              </w:rPr>
              <w:t>CondType</w:t>
            </w:r>
          </w:p>
        </w:tc>
        <w:tc>
          <w:tcPr>
            <w:tcW w:type="dxa" w:w="2592"/>
            <w:shd w:fill="1B365D"/>
          </w:tcPr>
          <w:p>
            <w:r>
              <w:rPr>
                <w:b/>
                <w:color w:val="FFFFFF"/>
                <w:sz w:val="16"/>
              </w:rPr>
              <w:t>Description</w:t>
            </w:r>
          </w:p>
        </w:tc>
        <w:tc>
          <w:tcPr>
            <w:tcW w:type="dxa" w:w="576"/>
            <w:shd w:fill="1B365D"/>
          </w:tcPr>
          <w:p>
            <w:r>
              <w:rPr>
                <w:b/>
                <w:color w:val="FFFFFF"/>
                <w:sz w:val="16"/>
              </w:rPr>
              <w:t>From</w:t>
            </w:r>
          </w:p>
        </w:tc>
        <w:tc>
          <w:tcPr>
            <w:tcW w:type="dxa" w:w="576"/>
            <w:shd w:fill="1B365D"/>
          </w:tcPr>
          <w:p>
            <w:r>
              <w:rPr>
                <w:b/>
                <w:color w:val="FFFFFF"/>
                <w:sz w:val="16"/>
              </w:rPr>
              <w:t>To</w:t>
            </w:r>
          </w:p>
        </w:tc>
        <w:tc>
          <w:tcPr>
            <w:tcW w:type="dxa" w:w="1008"/>
            <w:shd w:fill="1B365D"/>
          </w:tcPr>
          <w:p>
            <w:r>
              <w:rPr>
                <w:b/>
                <w:color w:val="FFFFFF"/>
                <w:sz w:val="16"/>
              </w:rPr>
              <w:t>Requirement</w:t>
            </w:r>
          </w:p>
        </w:tc>
        <w:tc>
          <w:tcPr>
            <w:tcW w:type="dxa" w:w="1152"/>
            <w:shd w:fill="1B365D"/>
          </w:tcPr>
          <w:p>
            <w:r>
              <w:rPr>
                <w:b/>
                <w:color w:val="FFFFFF"/>
                <w:sz w:val="16"/>
              </w:rPr>
              <w:t>Subtotal</w:t>
            </w:r>
          </w:p>
        </w:tc>
        <w:tc>
          <w:tcPr>
            <w:tcW w:type="dxa" w:w="1152"/>
            <w:shd w:fill="1B365D"/>
          </w:tcPr>
          <w:p>
            <w:r>
              <w:rPr>
                <w:b/>
                <w:color w:val="FFFFFF"/>
                <w:sz w:val="16"/>
              </w:rPr>
              <w:t>Acct Key</w:t>
            </w:r>
          </w:p>
        </w:tc>
      </w:tr>
      <w:tr>
        <w:tc>
          <w:tcPr>
            <w:tcW w:type="dxa" w:w="576"/>
            <w:shd w:fill="F9FBFD"/>
            <w:tcMar>
              <w:top w:w="60" w:type="dxa"/>
              <w:bottom w:w="60" w:type="dxa"/>
              <w:left w:w="50" w:type="dxa"/>
              <w:right w:w="50" w:type="dxa"/>
            </w:tcMar>
          </w:tcPr>
          <w:p>
            <w:r>
              <w:rPr>
                <w:sz w:val="16"/>
              </w:rPr>
              <w:t>10</w:t>
            </w:r>
          </w:p>
        </w:tc>
        <w:tc>
          <w:tcPr>
            <w:tcW w:type="dxa" w:w="576"/>
            <w:shd w:fill="F9FBFD"/>
            <w:tcMar>
              <w:top w:w="60" w:type="dxa"/>
              <w:bottom w:w="60" w:type="dxa"/>
              <w:left w:w="50" w:type="dxa"/>
              <w:right w:w="50" w:type="dxa"/>
            </w:tcMar>
          </w:tcPr>
          <w:p>
            <w:r>
              <w:rPr>
                <w:sz w:val="16"/>
              </w:rPr>
              <w:t>1</w:t>
            </w:r>
          </w:p>
        </w:tc>
        <w:tc>
          <w:tcPr>
            <w:tcW w:type="dxa" w:w="1152"/>
            <w:shd w:fill="F9FBFD"/>
            <w:tcMar>
              <w:top w:w="60" w:type="dxa"/>
              <w:bottom w:w="60" w:type="dxa"/>
              <w:left w:w="50" w:type="dxa"/>
              <w:right w:w="50" w:type="dxa"/>
            </w:tcMar>
          </w:tcPr>
          <w:p>
            <w:r>
              <w:rPr>
                <w:sz w:val="16"/>
              </w:rPr>
              <w:t>PR00</w:t>
            </w:r>
          </w:p>
        </w:tc>
        <w:tc>
          <w:tcPr>
            <w:tcW w:type="dxa" w:w="2592"/>
            <w:shd w:fill="F9FBFD"/>
            <w:tcMar>
              <w:top w:w="60" w:type="dxa"/>
              <w:bottom w:w="60" w:type="dxa"/>
              <w:left w:w="50" w:type="dxa"/>
              <w:right w:w="50" w:type="dxa"/>
            </w:tcMar>
          </w:tcPr>
          <w:p>
            <w:r>
              <w:rPr>
                <w:sz w:val="16"/>
              </w:rPr>
              <w:t>Base Price</w:t>
            </w:r>
          </w:p>
        </w:tc>
        <w:tc>
          <w:tcPr>
            <w:tcW w:type="dxa" w:w="576"/>
            <w:shd w:fill="F9FBFD"/>
            <w:tcMar>
              <w:top w:w="60" w:type="dxa"/>
              <w:bottom w:w="60" w:type="dxa"/>
              <w:left w:w="50" w:type="dxa"/>
              <w:right w:w="50" w:type="dxa"/>
            </w:tcMar>
          </w:tcPr>
          <w:p>
            <w:r>
              <w:rPr>
                <w:sz w:val="16"/>
              </w:rPr>
              <w:t>-</w:t>
            </w:r>
          </w:p>
        </w:tc>
        <w:tc>
          <w:tcPr>
            <w:tcW w:type="dxa" w:w="576"/>
            <w:shd w:fill="F9FBFD"/>
            <w:tcMar>
              <w:top w:w="60" w:type="dxa"/>
              <w:bottom w:w="60" w:type="dxa"/>
              <w:left w:w="50" w:type="dxa"/>
              <w:right w:w="50" w:type="dxa"/>
            </w:tcMar>
          </w:tcPr>
          <w:p>
            <w:r>
              <w:rPr>
                <w:sz w:val="16"/>
              </w:rPr>
              <w:t>-</w:t>
            </w:r>
          </w:p>
        </w:tc>
        <w:tc>
          <w:tcPr>
            <w:tcW w:type="dxa" w:w="1008"/>
            <w:shd w:fill="F9FBFD"/>
            <w:tcMar>
              <w:top w:w="60" w:type="dxa"/>
              <w:bottom w:w="60" w:type="dxa"/>
              <w:left w:w="50" w:type="dxa"/>
              <w:right w:w="50" w:type="dxa"/>
            </w:tcMar>
          </w:tcPr>
          <w:p>
            <w:r>
              <w:rPr>
                <w:sz w:val="16"/>
              </w:rPr>
              <w:t>2 (Item with price)</w:t>
            </w:r>
          </w:p>
        </w:tc>
        <w:tc>
          <w:tcPr>
            <w:tcW w:type="dxa" w:w="1152"/>
            <w:shd w:fill="F9FBFD"/>
            <w:tcMar>
              <w:top w:w="60" w:type="dxa"/>
              <w:bottom w:w="60" w:type="dxa"/>
              <w:left w:w="50" w:type="dxa"/>
              <w:right w:w="50" w:type="dxa"/>
            </w:tcMar>
          </w:tcPr>
          <w:p>
            <w:r>
              <w:rPr>
                <w:sz w:val="16"/>
              </w:rPr>
              <w:t>1</w:t>
            </w:r>
          </w:p>
        </w:tc>
        <w:tc>
          <w:tcPr>
            <w:tcW w:type="dxa" w:w="1152"/>
            <w:shd w:fill="F9FBFD"/>
            <w:tcMar>
              <w:top w:w="60" w:type="dxa"/>
              <w:bottom w:w="60" w:type="dxa"/>
              <w:left w:w="50" w:type="dxa"/>
              <w:right w:w="50" w:type="dxa"/>
            </w:tcMar>
          </w:tcPr>
          <w:p>
            <w:r>
              <w:rPr>
                <w:sz w:val="16"/>
              </w:rPr>
              <w:t>ERL</w:t>
            </w:r>
          </w:p>
        </w:tc>
      </w:tr>
      <w:tr>
        <w:tc>
          <w:tcPr>
            <w:tcW w:type="dxa" w:w="576"/>
            <w:shd w:fill="FFFFFF"/>
            <w:tcMar>
              <w:top w:w="60" w:type="dxa"/>
              <w:bottom w:w="60" w:type="dxa"/>
              <w:left w:w="50" w:type="dxa"/>
              <w:right w:w="50" w:type="dxa"/>
            </w:tcMar>
          </w:tcPr>
          <w:p>
            <w:r>
              <w:rPr>
                <w:sz w:val="16"/>
              </w:rPr>
              <w:t>20</w:t>
            </w:r>
          </w:p>
        </w:tc>
        <w:tc>
          <w:tcPr>
            <w:tcW w:type="dxa" w:w="576"/>
            <w:shd w:fill="FFFFFF"/>
            <w:tcMar>
              <w:top w:w="60" w:type="dxa"/>
              <w:bottom w:w="60" w:type="dxa"/>
              <w:left w:w="50" w:type="dxa"/>
              <w:right w:w="50" w:type="dxa"/>
            </w:tcMar>
          </w:tcPr>
          <w:p>
            <w:r>
              <w:rPr>
                <w:sz w:val="16"/>
              </w:rPr>
              <w:t>1</w:t>
            </w:r>
          </w:p>
        </w:tc>
        <w:tc>
          <w:tcPr>
            <w:tcW w:type="dxa" w:w="1152"/>
            <w:shd w:fill="FFFFFF"/>
            <w:tcMar>
              <w:top w:w="60" w:type="dxa"/>
              <w:bottom w:w="60" w:type="dxa"/>
              <w:left w:w="50" w:type="dxa"/>
              <w:right w:w="50" w:type="dxa"/>
            </w:tcMar>
          </w:tcPr>
          <w:p>
            <w:r>
              <w:rPr>
                <w:sz w:val="16"/>
              </w:rPr>
              <w:t>K007</w:t>
            </w:r>
          </w:p>
        </w:tc>
        <w:tc>
          <w:tcPr>
            <w:tcW w:type="dxa" w:w="2592"/>
            <w:shd w:fill="FFFFFF"/>
            <w:tcMar>
              <w:top w:w="60" w:type="dxa"/>
              <w:bottom w:w="60" w:type="dxa"/>
              <w:left w:w="50" w:type="dxa"/>
              <w:right w:w="50" w:type="dxa"/>
            </w:tcMar>
          </w:tcPr>
          <w:p>
            <w:r>
              <w:rPr>
                <w:sz w:val="16"/>
              </w:rPr>
              <w:t>Customer Discount</w:t>
            </w:r>
          </w:p>
        </w:tc>
        <w:tc>
          <w:tcPr>
            <w:tcW w:type="dxa" w:w="576"/>
            <w:shd w:fill="FFFFFF"/>
            <w:tcMar>
              <w:top w:w="60" w:type="dxa"/>
              <w:bottom w:w="60" w:type="dxa"/>
              <w:left w:w="50" w:type="dxa"/>
              <w:right w:w="50" w:type="dxa"/>
            </w:tcMar>
          </w:tcPr>
          <w:p>
            <w:r>
              <w:rPr>
                <w:sz w:val="16"/>
              </w:rPr>
              <w:t>10</w:t>
            </w:r>
          </w:p>
        </w:tc>
        <w:tc>
          <w:tcPr>
            <w:tcW w:type="dxa" w:w="576"/>
            <w:shd w:fill="FFFFFF"/>
            <w:tcMar>
              <w:top w:w="60" w:type="dxa"/>
              <w:bottom w:w="60" w:type="dxa"/>
              <w:left w:w="50" w:type="dxa"/>
              <w:right w:w="50" w:type="dxa"/>
            </w:tcMar>
          </w:tcPr>
          <w:p>
            <w:r>
              <w:rPr>
                <w:sz w:val="16"/>
              </w:rPr>
              <w:t>-</w:t>
            </w:r>
          </w:p>
        </w:tc>
        <w:tc>
          <w:tcPr>
            <w:tcW w:type="dxa" w:w="1008"/>
            <w:shd w:fill="FFFFFF"/>
            <w:tcMar>
              <w:top w:w="60" w:type="dxa"/>
              <w:bottom w:w="60" w:type="dxa"/>
              <w:left w:w="50" w:type="dxa"/>
              <w:right w:w="50" w:type="dxa"/>
            </w:tcMar>
          </w:tcPr>
          <w:p>
            <w:r>
              <w:rPr>
                <w:sz w:val="16"/>
              </w:rPr>
              <w:t>-</w:t>
            </w:r>
          </w:p>
        </w:tc>
        <w:tc>
          <w:tcPr>
            <w:tcW w:type="dxa" w:w="1152"/>
            <w:shd w:fill="FFFFFF"/>
            <w:tcMar>
              <w:top w:w="60" w:type="dxa"/>
              <w:bottom w:w="60" w:type="dxa"/>
              <w:left w:w="50" w:type="dxa"/>
              <w:right w:w="50" w:type="dxa"/>
            </w:tcMar>
          </w:tcPr>
          <w:p>
            <w:r>
              <w:rPr>
                <w:sz w:val="16"/>
              </w:rPr>
              <w:t>-</w:t>
            </w:r>
          </w:p>
        </w:tc>
        <w:tc>
          <w:tcPr>
            <w:tcW w:type="dxa" w:w="1152"/>
            <w:shd w:fill="FFFFFF"/>
            <w:tcMar>
              <w:top w:w="60" w:type="dxa"/>
              <w:bottom w:w="60" w:type="dxa"/>
              <w:left w:w="50" w:type="dxa"/>
              <w:right w:w="50" w:type="dxa"/>
            </w:tcMar>
          </w:tcPr>
          <w:p>
            <w:r>
              <w:rPr>
                <w:sz w:val="16"/>
              </w:rPr>
              <w:t>ERS</w:t>
            </w:r>
          </w:p>
        </w:tc>
      </w:tr>
      <w:tr>
        <w:tc>
          <w:tcPr>
            <w:tcW w:type="dxa" w:w="576"/>
            <w:shd w:fill="F9FBFD"/>
            <w:tcMar>
              <w:top w:w="60" w:type="dxa"/>
              <w:bottom w:w="60" w:type="dxa"/>
              <w:left w:w="50" w:type="dxa"/>
              <w:right w:w="50" w:type="dxa"/>
            </w:tcMar>
          </w:tcPr>
          <w:p>
            <w:r>
              <w:rPr>
                <w:sz w:val="16"/>
              </w:rPr>
              <w:t>30</w:t>
            </w:r>
          </w:p>
        </w:tc>
        <w:tc>
          <w:tcPr>
            <w:tcW w:type="dxa" w:w="576"/>
            <w:shd w:fill="F9FBFD"/>
            <w:tcMar>
              <w:top w:w="60" w:type="dxa"/>
              <w:bottom w:w="60" w:type="dxa"/>
              <w:left w:w="50" w:type="dxa"/>
              <w:right w:w="50" w:type="dxa"/>
            </w:tcMar>
          </w:tcPr>
          <w:p>
            <w:r>
              <w:rPr>
                <w:sz w:val="16"/>
              </w:rPr>
              <w:t>1</w:t>
            </w:r>
          </w:p>
        </w:tc>
        <w:tc>
          <w:tcPr>
            <w:tcW w:type="dxa" w:w="1152"/>
            <w:shd w:fill="F9FBFD"/>
            <w:tcMar>
              <w:top w:w="60" w:type="dxa"/>
              <w:bottom w:w="60" w:type="dxa"/>
              <w:left w:w="50" w:type="dxa"/>
              <w:right w:w="50" w:type="dxa"/>
            </w:tcMar>
          </w:tcPr>
          <w:p>
            <w:r>
              <w:rPr>
                <w:sz w:val="16"/>
              </w:rPr>
              <w:t>K005</w:t>
            </w:r>
          </w:p>
        </w:tc>
        <w:tc>
          <w:tcPr>
            <w:tcW w:type="dxa" w:w="2592"/>
            <w:shd w:fill="F9FBFD"/>
            <w:tcMar>
              <w:top w:w="60" w:type="dxa"/>
              <w:bottom w:w="60" w:type="dxa"/>
              <w:left w:w="50" w:type="dxa"/>
              <w:right w:w="50" w:type="dxa"/>
            </w:tcMar>
          </w:tcPr>
          <w:p>
            <w:r>
              <w:rPr>
                <w:sz w:val="16"/>
              </w:rPr>
              <w:t>Quantity Discount</w:t>
            </w:r>
          </w:p>
        </w:tc>
        <w:tc>
          <w:tcPr>
            <w:tcW w:type="dxa" w:w="576"/>
            <w:shd w:fill="F9FBFD"/>
            <w:tcMar>
              <w:top w:w="60" w:type="dxa"/>
              <w:bottom w:w="60" w:type="dxa"/>
              <w:left w:w="50" w:type="dxa"/>
              <w:right w:w="50" w:type="dxa"/>
            </w:tcMar>
          </w:tcPr>
          <w:p>
            <w:r>
              <w:rPr>
                <w:sz w:val="16"/>
              </w:rPr>
              <w:t>10</w:t>
            </w:r>
          </w:p>
        </w:tc>
        <w:tc>
          <w:tcPr>
            <w:tcW w:type="dxa" w:w="576"/>
            <w:shd w:fill="F9FBFD"/>
            <w:tcMar>
              <w:top w:w="60" w:type="dxa"/>
              <w:bottom w:w="60" w:type="dxa"/>
              <w:left w:w="50" w:type="dxa"/>
              <w:right w:w="50" w:type="dxa"/>
            </w:tcMar>
          </w:tcPr>
          <w:p>
            <w:r>
              <w:rPr>
                <w:sz w:val="16"/>
              </w:rPr>
              <w:t>20</w:t>
            </w:r>
          </w:p>
        </w:tc>
        <w:tc>
          <w:tcPr>
            <w:tcW w:type="dxa" w:w="1008"/>
            <w:shd w:fill="F9FBFD"/>
            <w:tcMar>
              <w:top w:w="60" w:type="dxa"/>
              <w:bottom w:w="60" w:type="dxa"/>
              <w:left w:w="50" w:type="dxa"/>
              <w:right w:w="50" w:type="dxa"/>
            </w:tcMar>
          </w:tcPr>
          <w:p>
            <w:r>
              <w:rPr>
                <w:sz w:val="16"/>
              </w:rPr>
              <w:t>-</w:t>
            </w:r>
          </w:p>
        </w:tc>
        <w:tc>
          <w:tcPr>
            <w:tcW w:type="dxa" w:w="1152"/>
            <w:shd w:fill="F9FBFD"/>
            <w:tcMar>
              <w:top w:w="60" w:type="dxa"/>
              <w:bottom w:w="60" w:type="dxa"/>
              <w:left w:w="50" w:type="dxa"/>
              <w:right w:w="50" w:type="dxa"/>
            </w:tcMar>
          </w:tcPr>
          <w:p>
            <w:r>
              <w:rPr>
                <w:sz w:val="16"/>
              </w:rPr>
              <w:t>2</w:t>
            </w:r>
          </w:p>
        </w:tc>
        <w:tc>
          <w:tcPr>
            <w:tcW w:type="dxa" w:w="1152"/>
            <w:shd w:fill="F9FBFD"/>
            <w:tcMar>
              <w:top w:w="60" w:type="dxa"/>
              <w:bottom w:w="60" w:type="dxa"/>
              <w:left w:w="50" w:type="dxa"/>
              <w:right w:w="50" w:type="dxa"/>
            </w:tcMar>
          </w:tcPr>
          <w:p>
            <w:r>
              <w:rPr>
                <w:sz w:val="16"/>
              </w:rPr>
              <w:t>ERS</w:t>
            </w:r>
          </w:p>
        </w:tc>
      </w:tr>
      <w:tr>
        <w:tc>
          <w:tcPr>
            <w:tcW w:type="dxa" w:w="576"/>
            <w:shd w:fill="FFFFFF"/>
            <w:tcMar>
              <w:top w:w="60" w:type="dxa"/>
              <w:bottom w:w="60" w:type="dxa"/>
              <w:left w:w="50" w:type="dxa"/>
              <w:right w:w="50" w:type="dxa"/>
            </w:tcMar>
          </w:tcPr>
          <w:p>
            <w:r>
              <w:rPr>
                <w:sz w:val="16"/>
              </w:rPr>
              <w:t>40</w:t>
            </w:r>
          </w:p>
        </w:tc>
        <w:tc>
          <w:tcPr>
            <w:tcW w:type="dxa" w:w="576"/>
            <w:shd w:fill="FFFFFF"/>
            <w:tcMar>
              <w:top w:w="60" w:type="dxa"/>
              <w:bottom w:w="60" w:type="dxa"/>
              <w:left w:w="50" w:type="dxa"/>
              <w:right w:w="50" w:type="dxa"/>
            </w:tcMar>
          </w:tcPr>
          <w:p>
            <w:r>
              <w:rPr>
                <w:sz w:val="16"/>
              </w:rPr>
              <w:t>1</w:t>
            </w:r>
          </w:p>
        </w:tc>
        <w:tc>
          <w:tcPr>
            <w:tcW w:type="dxa" w:w="1152"/>
            <w:shd w:fill="FFFFFF"/>
            <w:tcMar>
              <w:top w:w="60" w:type="dxa"/>
              <w:bottom w:w="60" w:type="dxa"/>
              <w:left w:w="50" w:type="dxa"/>
              <w:right w:w="50" w:type="dxa"/>
            </w:tcMar>
          </w:tcPr>
          <w:p>
            <w:r>
              <w:rPr>
                <w:sz w:val="16"/>
              </w:rPr>
              <w:t>HD00</w:t>
            </w:r>
          </w:p>
        </w:tc>
        <w:tc>
          <w:tcPr>
            <w:tcW w:type="dxa" w:w="2592"/>
            <w:shd w:fill="FFFFFF"/>
            <w:tcMar>
              <w:top w:w="60" w:type="dxa"/>
              <w:bottom w:w="60" w:type="dxa"/>
              <w:left w:w="50" w:type="dxa"/>
              <w:right w:w="50" w:type="dxa"/>
            </w:tcMar>
          </w:tcPr>
          <w:p>
            <w:r>
              <w:rPr>
                <w:sz w:val="16"/>
              </w:rPr>
              <w:t>Freight Surcharge</w:t>
            </w:r>
          </w:p>
        </w:tc>
        <w:tc>
          <w:tcPr>
            <w:tcW w:type="dxa" w:w="576"/>
            <w:shd w:fill="FFFFFF"/>
            <w:tcMar>
              <w:top w:w="60" w:type="dxa"/>
              <w:bottom w:w="60" w:type="dxa"/>
              <w:left w:w="50" w:type="dxa"/>
              <w:right w:w="50" w:type="dxa"/>
            </w:tcMar>
          </w:tcPr>
          <w:p>
            <w:r>
              <w:rPr>
                <w:sz w:val="16"/>
              </w:rPr>
              <w:t>-</w:t>
            </w:r>
          </w:p>
        </w:tc>
        <w:tc>
          <w:tcPr>
            <w:tcW w:type="dxa" w:w="576"/>
            <w:shd w:fill="FFFFFF"/>
            <w:tcMar>
              <w:top w:w="60" w:type="dxa"/>
              <w:bottom w:w="60" w:type="dxa"/>
              <w:left w:w="50" w:type="dxa"/>
              <w:right w:w="50" w:type="dxa"/>
            </w:tcMar>
          </w:tcPr>
          <w:p>
            <w:r>
              <w:rPr>
                <w:sz w:val="16"/>
              </w:rPr>
              <w:t>-</w:t>
            </w:r>
          </w:p>
        </w:tc>
        <w:tc>
          <w:tcPr>
            <w:tcW w:type="dxa" w:w="1008"/>
            <w:shd w:fill="FFFFFF"/>
            <w:tcMar>
              <w:top w:w="60" w:type="dxa"/>
              <w:bottom w:w="60" w:type="dxa"/>
              <w:left w:w="50" w:type="dxa"/>
              <w:right w:w="50" w:type="dxa"/>
            </w:tcMar>
          </w:tcPr>
          <w:p>
            <w:r>
              <w:rPr>
                <w:sz w:val="16"/>
              </w:rPr>
              <w:t>-</w:t>
            </w:r>
          </w:p>
        </w:tc>
        <w:tc>
          <w:tcPr>
            <w:tcW w:type="dxa" w:w="1152"/>
            <w:shd w:fill="FFFFFF"/>
            <w:tcMar>
              <w:top w:w="60" w:type="dxa"/>
              <w:bottom w:w="60" w:type="dxa"/>
              <w:left w:w="50" w:type="dxa"/>
              <w:right w:w="50" w:type="dxa"/>
            </w:tcMar>
          </w:tcPr>
          <w:p>
            <w:r>
              <w:rPr>
                <w:sz w:val="16"/>
              </w:rPr>
              <w:t>3</w:t>
            </w:r>
          </w:p>
        </w:tc>
        <w:tc>
          <w:tcPr>
            <w:tcW w:type="dxa" w:w="1152"/>
            <w:shd w:fill="FFFFFF"/>
            <w:tcMar>
              <w:top w:w="60" w:type="dxa"/>
              <w:bottom w:w="60" w:type="dxa"/>
              <w:left w:w="50" w:type="dxa"/>
              <w:right w:w="50" w:type="dxa"/>
            </w:tcMar>
          </w:tcPr>
          <w:p>
            <w:r>
              <w:rPr>
                <w:sz w:val="16"/>
              </w:rPr>
              <w:t>ERF</w:t>
            </w:r>
          </w:p>
        </w:tc>
      </w:tr>
      <w:tr>
        <w:tc>
          <w:tcPr>
            <w:tcW w:type="dxa" w:w="576"/>
            <w:shd w:fill="F9FBFD"/>
            <w:tcMar>
              <w:top w:w="60" w:type="dxa"/>
              <w:bottom w:w="60" w:type="dxa"/>
              <w:left w:w="50" w:type="dxa"/>
              <w:right w:w="50" w:type="dxa"/>
            </w:tcMar>
          </w:tcPr>
          <w:p>
            <w:r>
              <w:rPr>
                <w:sz w:val="16"/>
              </w:rPr>
              <w:t>50</w:t>
            </w:r>
          </w:p>
        </w:tc>
        <w:tc>
          <w:tcPr>
            <w:tcW w:type="dxa" w:w="576"/>
            <w:shd w:fill="F9FBFD"/>
            <w:tcMar>
              <w:top w:w="60" w:type="dxa"/>
              <w:bottom w:w="60" w:type="dxa"/>
              <w:left w:w="50" w:type="dxa"/>
              <w:right w:w="50" w:type="dxa"/>
            </w:tcMar>
          </w:tcPr>
          <w:p>
            <w:r>
              <w:rPr>
                <w:sz w:val="16"/>
              </w:rPr>
              <w:t>1</w:t>
            </w:r>
          </w:p>
        </w:tc>
        <w:tc>
          <w:tcPr>
            <w:tcW w:type="dxa" w:w="1152"/>
            <w:shd w:fill="F9FBFD"/>
            <w:tcMar>
              <w:top w:w="60" w:type="dxa"/>
              <w:bottom w:w="60" w:type="dxa"/>
              <w:left w:w="50" w:type="dxa"/>
              <w:right w:w="50" w:type="dxa"/>
            </w:tcMar>
          </w:tcPr>
          <w:p>
            <w:r>
              <w:rPr>
                <w:sz w:val="16"/>
              </w:rPr>
              <w:t>MWST</w:t>
            </w:r>
          </w:p>
        </w:tc>
        <w:tc>
          <w:tcPr>
            <w:tcW w:type="dxa" w:w="2592"/>
            <w:shd w:fill="F9FBFD"/>
            <w:tcMar>
              <w:top w:w="60" w:type="dxa"/>
              <w:bottom w:w="60" w:type="dxa"/>
              <w:left w:w="50" w:type="dxa"/>
              <w:right w:w="50" w:type="dxa"/>
            </w:tcMar>
          </w:tcPr>
          <w:p>
            <w:r>
              <w:rPr>
                <w:sz w:val="16"/>
              </w:rPr>
              <w:t>Output Tax</w:t>
            </w:r>
          </w:p>
        </w:tc>
        <w:tc>
          <w:tcPr>
            <w:tcW w:type="dxa" w:w="576"/>
            <w:shd w:fill="F9FBFD"/>
            <w:tcMar>
              <w:top w:w="60" w:type="dxa"/>
              <w:bottom w:w="60" w:type="dxa"/>
              <w:left w:w="50" w:type="dxa"/>
              <w:right w:w="50" w:type="dxa"/>
            </w:tcMar>
          </w:tcPr>
          <w:p>
            <w:r>
              <w:rPr>
                <w:sz w:val="16"/>
              </w:rPr>
              <w:t>10</w:t>
            </w:r>
          </w:p>
        </w:tc>
        <w:tc>
          <w:tcPr>
            <w:tcW w:type="dxa" w:w="576"/>
            <w:shd w:fill="F9FBFD"/>
            <w:tcMar>
              <w:top w:w="60" w:type="dxa"/>
              <w:bottom w:w="60" w:type="dxa"/>
              <w:left w:w="50" w:type="dxa"/>
              <w:right w:w="50" w:type="dxa"/>
            </w:tcMar>
          </w:tcPr>
          <w:p>
            <w:r>
              <w:rPr>
                <w:sz w:val="16"/>
              </w:rPr>
              <w:t>40</w:t>
            </w:r>
          </w:p>
        </w:tc>
        <w:tc>
          <w:tcPr>
            <w:tcW w:type="dxa" w:w="1008"/>
            <w:shd w:fill="F9FBFD"/>
            <w:tcMar>
              <w:top w:w="60" w:type="dxa"/>
              <w:bottom w:w="60" w:type="dxa"/>
              <w:left w:w="50" w:type="dxa"/>
              <w:right w:w="50" w:type="dxa"/>
            </w:tcMar>
          </w:tcPr>
          <w:p>
            <w:r>
              <w:rPr>
                <w:sz w:val="16"/>
              </w:rPr>
              <w:t>10 (Plant req.)</w:t>
            </w:r>
          </w:p>
        </w:tc>
        <w:tc>
          <w:tcPr>
            <w:tcW w:type="dxa" w:w="1152"/>
            <w:shd w:fill="F9FBFD"/>
            <w:tcMar>
              <w:top w:w="60" w:type="dxa"/>
              <w:bottom w:w="60" w:type="dxa"/>
              <w:left w:w="50" w:type="dxa"/>
              <w:right w:w="50" w:type="dxa"/>
            </w:tcMar>
          </w:tcPr>
          <w:p>
            <w:r>
              <w:rPr>
                <w:sz w:val="16"/>
              </w:rPr>
              <w:t>6</w:t>
            </w:r>
          </w:p>
        </w:tc>
        <w:tc>
          <w:tcPr>
            <w:tcW w:type="dxa" w:w="1152"/>
            <w:shd w:fill="F9FBFD"/>
            <w:tcMar>
              <w:top w:w="60" w:type="dxa"/>
              <w:bottom w:w="60" w:type="dxa"/>
              <w:left w:w="50" w:type="dxa"/>
              <w:right w:w="50" w:type="dxa"/>
            </w:tcMar>
          </w:tcPr>
          <w:p>
            <w:r>
              <w:rPr>
                <w:sz w:val="16"/>
              </w:rPr>
              <w:t>MWS</w:t>
            </w:r>
          </w:p>
        </w:tc>
      </w:tr>
      <w:tr>
        <w:tc>
          <w:tcPr>
            <w:tcW w:type="dxa" w:w="576"/>
            <w:shd w:fill="FFFFFF"/>
            <w:tcMar>
              <w:top w:w="60" w:type="dxa"/>
              <w:bottom w:w="60" w:type="dxa"/>
              <w:left w:w="50" w:type="dxa"/>
              <w:right w:w="50" w:type="dxa"/>
            </w:tcMar>
          </w:tcPr>
          <w:p>
            <w:r>
              <w:rPr>
                <w:sz w:val="16"/>
              </w:rPr>
              <w:t>60</w:t>
            </w:r>
          </w:p>
        </w:tc>
        <w:tc>
          <w:tcPr>
            <w:tcW w:type="dxa" w:w="576"/>
            <w:shd w:fill="FFFFFF"/>
            <w:tcMar>
              <w:top w:w="60" w:type="dxa"/>
              <w:bottom w:w="60" w:type="dxa"/>
              <w:left w:w="50" w:type="dxa"/>
              <w:right w:w="50" w:type="dxa"/>
            </w:tcMar>
          </w:tcPr>
          <w:p>
            <w:r>
              <w:rPr>
                <w:sz w:val="16"/>
              </w:rPr>
              <w:t>1</w:t>
            </w:r>
          </w:p>
        </w:tc>
        <w:tc>
          <w:tcPr>
            <w:tcW w:type="dxa" w:w="1152"/>
            <w:shd w:fill="FFFFFF"/>
            <w:tcMar>
              <w:top w:w="60" w:type="dxa"/>
              <w:bottom w:w="60" w:type="dxa"/>
              <w:left w:w="50" w:type="dxa"/>
              <w:right w:w="50" w:type="dxa"/>
            </w:tcMar>
          </w:tcPr>
          <w:p>
            <w:r>
              <w:rPr>
                <w:sz w:val="16"/>
              </w:rPr>
              <w:t>TOTAL</w:t>
            </w:r>
          </w:p>
        </w:tc>
        <w:tc>
          <w:tcPr>
            <w:tcW w:type="dxa" w:w="2592"/>
            <w:shd w:fill="FFFFFF"/>
            <w:tcMar>
              <w:top w:w="60" w:type="dxa"/>
              <w:bottom w:w="60" w:type="dxa"/>
              <w:left w:w="50" w:type="dxa"/>
              <w:right w:w="50" w:type="dxa"/>
            </w:tcMar>
          </w:tcPr>
          <w:p>
            <w:r>
              <w:rPr>
                <w:sz w:val="16"/>
              </w:rPr>
              <w:t>Net Sales Value</w:t>
            </w:r>
          </w:p>
        </w:tc>
        <w:tc>
          <w:tcPr>
            <w:tcW w:type="dxa" w:w="576"/>
            <w:shd w:fill="FFFFFF"/>
            <w:tcMar>
              <w:top w:w="60" w:type="dxa"/>
              <w:bottom w:w="60" w:type="dxa"/>
              <w:left w:w="50" w:type="dxa"/>
              <w:right w:w="50" w:type="dxa"/>
            </w:tcMar>
          </w:tcPr>
          <w:p>
            <w:r>
              <w:rPr>
                <w:sz w:val="16"/>
              </w:rPr>
              <w:t>10</w:t>
            </w:r>
          </w:p>
        </w:tc>
        <w:tc>
          <w:tcPr>
            <w:tcW w:type="dxa" w:w="576"/>
            <w:shd w:fill="FFFFFF"/>
            <w:tcMar>
              <w:top w:w="60" w:type="dxa"/>
              <w:bottom w:w="60" w:type="dxa"/>
              <w:left w:w="50" w:type="dxa"/>
              <w:right w:w="50" w:type="dxa"/>
            </w:tcMar>
          </w:tcPr>
          <w:p>
            <w:r>
              <w:rPr>
                <w:sz w:val="16"/>
              </w:rPr>
              <w:t>50</w:t>
            </w:r>
          </w:p>
        </w:tc>
        <w:tc>
          <w:tcPr>
            <w:tcW w:type="dxa" w:w="1008"/>
            <w:shd w:fill="FFFFFF"/>
            <w:tcMar>
              <w:top w:w="60" w:type="dxa"/>
              <w:bottom w:w="60" w:type="dxa"/>
              <w:left w:w="50" w:type="dxa"/>
              <w:right w:w="50" w:type="dxa"/>
            </w:tcMar>
          </w:tcPr>
          <w:p>
            <w:r>
              <w:rPr>
                <w:sz w:val="16"/>
              </w:rPr>
              <w:t>-</w:t>
            </w:r>
          </w:p>
        </w:tc>
        <w:tc>
          <w:tcPr>
            <w:tcW w:type="dxa" w:w="1152"/>
            <w:shd w:fill="FFFFFF"/>
            <w:tcMar>
              <w:top w:w="60" w:type="dxa"/>
              <w:bottom w:w="60" w:type="dxa"/>
              <w:left w:w="50" w:type="dxa"/>
              <w:right w:w="50" w:type="dxa"/>
            </w:tcMar>
          </w:tcPr>
          <w:p>
            <w:r>
              <w:rPr>
                <w:sz w:val="16"/>
              </w:rPr>
              <w:t>-</w:t>
            </w:r>
          </w:p>
        </w:tc>
        <w:tc>
          <w:tcPr>
            <w:tcW w:type="dxa" w:w="1152"/>
            <w:shd w:fill="FFFFFF"/>
            <w:tcMar>
              <w:top w:w="60" w:type="dxa"/>
              <w:bottom w:w="60" w:type="dxa"/>
              <w:left w:w="50" w:type="dxa"/>
              <w:right w:w="50" w:type="dxa"/>
            </w:tcMar>
          </w:tcPr>
          <w:p>
            <w:r>
              <w:rPr>
                <w:sz w:val="16"/>
              </w:rPr>
              <w:t>-</w:t>
            </w:r>
          </w:p>
        </w:tc>
      </w:tr>
    </w:tbl>
    <w:p>
      <w:pPr>
        <w:spacing w:after="120"/>
      </w:pPr>
    </w:p>
    <w:p>
      <w:pPr>
        <w:keepNext/>
        <w:spacing w:before="320" w:after="120"/>
      </w:pPr>
      <w:r>
        <w:rPr>
          <w:rFonts w:ascii="Arial" w:hAnsi="Arial"/>
          <w:b/>
          <w:color w:val="1B365D"/>
          <w:sz w:val="28"/>
        </w:rPr>
        <w:t>5. Discount Strategies &amp; Strategic Importance</w:t>
      </w:r>
    </w:p>
    <w:p>
      <w:pPr>
        <w:spacing w:after="120"/>
      </w:pPr>
      <w:r>
        <w:t>In SAP SD, discounts must be strategically structured to balance market competitiveness with margin control. The system supports three primary discount techniques:</w:t>
      </w:r>
    </w:p>
    <w:p>
      <w:pPr>
        <w:pStyle w:val="ListBullet"/>
        <w:spacing w:after="80"/>
      </w:pPr>
      <w:r>
        <w:rPr>
          <w:b/>
          <w:color w:val="1B365D"/>
        </w:rPr>
        <w:t>Immediate / Line-Item Discounts (e.g., K004, K007):</w:t>
      </w:r>
      <w:r>
        <w:t xml:space="preserve"> Applied directly during sales order creation based on condition records. They provide instant transparency to the customer but reduce gross revenue immediately.</w:t>
      </w:r>
    </w:p>
    <w:p>
      <w:pPr>
        <w:pStyle w:val="ListBullet"/>
        <w:spacing w:after="80"/>
      </w:pPr>
      <w:r>
        <w:rPr>
          <w:b/>
          <w:color w:val="1B365D"/>
        </w:rPr>
        <w:t>Progressive Scale / Quantity Discounts (e.g., K005):</w:t>
      </w:r>
      <w:r>
        <w:t xml:space="preserve"> Calculated dynamically based on order volume scales (e.g., 1-10 units @ 0%, 11-50 units @ 3%, &gt;50 units @ 5%). Encourages larger order sizes and optimizes logistics throughput.</w:t>
      </w:r>
    </w:p>
    <w:p>
      <w:pPr>
        <w:pStyle w:val="ListBullet"/>
        <w:spacing w:after="80"/>
      </w:pPr>
      <w:r>
        <w:rPr>
          <w:b/>
          <w:color w:val="1B365D"/>
        </w:rPr>
        <w:t>Deferred Rebates &amp; Agreement Settlements (e.g., BO01):</w:t>
      </w:r>
      <w:r>
        <w:t xml:space="preserve"> Accumulated over a defined period (quarterly/annually) via SAP Rebate Agreements / Condition Contracts (CCM). Payment is settled via credit memos upon reaching target spend thresholds, protecting cash flow during active sales periods.</w:t>
      </w:r>
    </w:p>
    <w:p>
      <w:pPr>
        <w:keepNext/>
        <w:spacing w:before="320" w:after="120"/>
      </w:pPr>
      <w:r>
        <w:rPr>
          <w:rFonts w:ascii="Arial" w:hAnsi="Arial"/>
          <w:b/>
          <w:color w:val="1B365D"/>
          <w:sz w:val="28"/>
        </w:rPr>
        <w:t>6. Billing, Invoice Creation Scenarios &amp; Revenue Recognition</w:t>
      </w:r>
    </w:p>
    <w:p>
      <w:pPr>
        <w:spacing w:after="120"/>
      </w:pPr>
      <w:r>
        <w:t>The billing document bridges Sales &amp; Distribution (SD) with Financial Accounting (FI). Upon release of a billing document (Transaction VF01 / VF02), SAP automatically creates FI General Ledger postings based on Account Assignment Keys assigned in the pricing procedure.</w:t>
      </w:r>
    </w:p>
    <w:p>
      <w:pPr>
        <w:keepNext/>
        <w:spacing w:before="240" w:after="80"/>
      </w:pPr>
      <w:r>
        <w:rPr>
          <w:rFonts w:ascii="Arial" w:hAnsi="Arial"/>
          <w:b/>
          <w:color w:val="2E5B88"/>
          <w:sz w:val="24"/>
        </w:rPr>
        <w:t>G/L Account Determination Postings for Scenario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3600"/>
            <w:shd w:fill="1B365D"/>
          </w:tcPr>
          <w:p>
            <w:r>
              <w:rPr>
                <w:b/>
                <w:color w:val="FFFFFF"/>
                <w:sz w:val="18"/>
              </w:rPr>
              <w:t>Account Description</w:t>
            </w:r>
          </w:p>
        </w:tc>
        <w:tc>
          <w:tcPr>
            <w:tcW w:type="dxa" w:w="2160"/>
            <w:shd w:fill="1B365D"/>
          </w:tcPr>
          <w:p>
            <w:r>
              <w:rPr>
                <w:b/>
                <w:color w:val="FFFFFF"/>
                <w:sz w:val="18"/>
              </w:rPr>
              <w:t>SAP G/L Account Key</w:t>
            </w:r>
          </w:p>
        </w:tc>
        <w:tc>
          <w:tcPr>
            <w:tcW w:type="dxa" w:w="1728"/>
            <w:shd w:fill="1B365D"/>
          </w:tcPr>
          <w:p>
            <w:r>
              <w:rPr>
                <w:b/>
                <w:color w:val="FFFFFF"/>
                <w:sz w:val="18"/>
              </w:rPr>
              <w:t>Posting Type</w:t>
            </w:r>
          </w:p>
        </w:tc>
        <w:tc>
          <w:tcPr>
            <w:tcW w:type="dxa" w:w="1872"/>
            <w:shd w:fill="1B365D"/>
          </w:tcPr>
          <w:p>
            <w:r>
              <w:rPr>
                <w:b/>
                <w:color w:val="FFFFFF"/>
                <w:sz w:val="18"/>
              </w:rPr>
              <w:t>Amount ($)</w:t>
            </w:r>
          </w:p>
        </w:tc>
      </w:tr>
      <w:tr>
        <w:tc>
          <w:tcPr>
            <w:tcW w:type="dxa" w:w="3600"/>
            <w:shd w:fill="F9FBFD"/>
            <w:tcMar>
              <w:top w:w="70" w:type="dxa"/>
              <w:bottom w:w="70" w:type="dxa"/>
              <w:left w:w="80" w:type="dxa"/>
              <w:right w:w="80" w:type="dxa"/>
            </w:tcMar>
          </w:tcPr>
          <w:p>
            <w:r>
              <w:rPr>
                <w:sz w:val="17"/>
              </w:rPr>
              <w:t>Customer Accounts Receivable</w:t>
            </w:r>
          </w:p>
        </w:tc>
        <w:tc>
          <w:tcPr>
            <w:tcW w:type="dxa" w:w="2160"/>
            <w:shd w:fill="F9FBFD"/>
            <w:tcMar>
              <w:top w:w="70" w:type="dxa"/>
              <w:bottom w:w="70" w:type="dxa"/>
              <w:left w:w="80" w:type="dxa"/>
              <w:right w:w="80" w:type="dxa"/>
            </w:tcMar>
          </w:tcPr>
          <w:p>
            <w:r>
              <w:rPr>
                <w:sz w:val="17"/>
              </w:rPr>
              <w:t>AR (Customer Master)</w:t>
            </w:r>
          </w:p>
        </w:tc>
        <w:tc>
          <w:tcPr>
            <w:tcW w:type="dxa" w:w="1728"/>
            <w:shd w:fill="F9FBFD"/>
            <w:tcMar>
              <w:top w:w="70" w:type="dxa"/>
              <w:bottom w:w="70" w:type="dxa"/>
              <w:left w:w="80" w:type="dxa"/>
              <w:right w:w="80" w:type="dxa"/>
            </w:tcMar>
          </w:tcPr>
          <w:p>
            <w:r>
              <w:rPr>
                <w:sz w:val="17"/>
              </w:rPr>
              <w:t>Debit (Dr.)</w:t>
            </w:r>
          </w:p>
        </w:tc>
        <w:tc>
          <w:tcPr>
            <w:tcW w:type="dxa" w:w="1872"/>
            <w:shd w:fill="F9FBFD"/>
            <w:tcMar>
              <w:top w:w="70" w:type="dxa"/>
              <w:bottom w:w="70" w:type="dxa"/>
              <w:left w:w="80" w:type="dxa"/>
              <w:right w:w="80" w:type="dxa"/>
            </w:tcMar>
          </w:tcPr>
          <w:p>
            <w:r>
              <w:rPr>
                <w:sz w:val="17"/>
              </w:rPr>
              <w:t>$104,720.00</w:t>
            </w:r>
          </w:p>
        </w:tc>
      </w:tr>
      <w:tr>
        <w:tc>
          <w:tcPr>
            <w:tcW w:type="dxa" w:w="3600"/>
            <w:shd w:fill="FFFFFF"/>
            <w:tcMar>
              <w:top w:w="70" w:type="dxa"/>
              <w:bottom w:w="70" w:type="dxa"/>
              <w:left w:w="80" w:type="dxa"/>
              <w:right w:w="80" w:type="dxa"/>
            </w:tcMar>
          </w:tcPr>
          <w:p>
            <w:r>
              <w:rPr>
                <w:sz w:val="17"/>
              </w:rPr>
              <w:t>Sales Revenue (Gross Base)</w:t>
            </w:r>
          </w:p>
        </w:tc>
        <w:tc>
          <w:tcPr>
            <w:tcW w:type="dxa" w:w="2160"/>
            <w:shd w:fill="FFFFFF"/>
            <w:tcMar>
              <w:top w:w="70" w:type="dxa"/>
              <w:bottom w:w="70" w:type="dxa"/>
              <w:left w:w="80" w:type="dxa"/>
              <w:right w:w="80" w:type="dxa"/>
            </w:tcMar>
          </w:tcPr>
          <w:p>
            <w:r>
              <w:rPr>
                <w:sz w:val="17"/>
              </w:rPr>
              <w:t>ERL (Gross Sales)</w:t>
            </w:r>
          </w:p>
        </w:tc>
        <w:tc>
          <w:tcPr>
            <w:tcW w:type="dxa" w:w="1728"/>
            <w:shd w:fill="FFFFFF"/>
            <w:tcMar>
              <w:top w:w="70" w:type="dxa"/>
              <w:bottom w:w="70" w:type="dxa"/>
              <w:left w:w="80" w:type="dxa"/>
              <w:right w:w="80" w:type="dxa"/>
            </w:tcMar>
          </w:tcPr>
          <w:p>
            <w:r>
              <w:rPr>
                <w:sz w:val="17"/>
              </w:rPr>
              <w:t>Credit (Cr.)</w:t>
            </w:r>
          </w:p>
        </w:tc>
        <w:tc>
          <w:tcPr>
            <w:tcW w:type="dxa" w:w="1872"/>
            <w:shd w:fill="FFFFFF"/>
            <w:tcMar>
              <w:top w:w="70" w:type="dxa"/>
              <w:bottom w:w="70" w:type="dxa"/>
              <w:left w:w="80" w:type="dxa"/>
              <w:right w:w="80" w:type="dxa"/>
            </w:tcMar>
          </w:tcPr>
          <w:p>
            <w:r>
              <w:rPr>
                <w:sz w:val="17"/>
              </w:rPr>
              <w:t>$100,000.00</w:t>
            </w:r>
          </w:p>
        </w:tc>
      </w:tr>
      <w:tr>
        <w:tc>
          <w:tcPr>
            <w:tcW w:type="dxa" w:w="3600"/>
            <w:shd w:fill="F9FBFD"/>
            <w:tcMar>
              <w:top w:w="70" w:type="dxa"/>
              <w:bottom w:w="70" w:type="dxa"/>
              <w:left w:w="80" w:type="dxa"/>
              <w:right w:w="80" w:type="dxa"/>
            </w:tcMar>
          </w:tcPr>
          <w:p>
            <w:r>
              <w:rPr>
                <w:sz w:val="17"/>
              </w:rPr>
              <w:t>Sales Deductions / Discounts</w:t>
            </w:r>
          </w:p>
        </w:tc>
        <w:tc>
          <w:tcPr>
            <w:tcW w:type="dxa" w:w="2160"/>
            <w:shd w:fill="F9FBFD"/>
            <w:tcMar>
              <w:top w:w="70" w:type="dxa"/>
              <w:bottom w:w="70" w:type="dxa"/>
              <w:left w:w="80" w:type="dxa"/>
              <w:right w:w="80" w:type="dxa"/>
            </w:tcMar>
          </w:tcPr>
          <w:p>
            <w:r>
              <w:rPr>
                <w:sz w:val="17"/>
              </w:rPr>
              <w:t>ERS (Discounts)</w:t>
            </w:r>
          </w:p>
        </w:tc>
        <w:tc>
          <w:tcPr>
            <w:tcW w:type="dxa" w:w="1728"/>
            <w:shd w:fill="F9FBFD"/>
            <w:tcMar>
              <w:top w:w="70" w:type="dxa"/>
              <w:bottom w:w="70" w:type="dxa"/>
              <w:left w:w="80" w:type="dxa"/>
              <w:right w:w="80" w:type="dxa"/>
            </w:tcMar>
          </w:tcPr>
          <w:p>
            <w:r>
              <w:rPr>
                <w:sz w:val="17"/>
              </w:rPr>
              <w:t>Debit (Dr.)</w:t>
            </w:r>
          </w:p>
        </w:tc>
        <w:tc>
          <w:tcPr>
            <w:tcW w:type="dxa" w:w="1872"/>
            <w:shd w:fill="F9FBFD"/>
            <w:tcMar>
              <w:top w:w="70" w:type="dxa"/>
              <w:bottom w:w="70" w:type="dxa"/>
              <w:left w:w="80" w:type="dxa"/>
              <w:right w:w="80" w:type="dxa"/>
            </w:tcMar>
          </w:tcPr>
          <w:p>
            <w:r>
              <w:rPr>
                <w:sz w:val="17"/>
              </w:rPr>
              <w:t>$14,500.00</w:t>
            </w:r>
          </w:p>
        </w:tc>
      </w:tr>
      <w:tr>
        <w:tc>
          <w:tcPr>
            <w:tcW w:type="dxa" w:w="3600"/>
            <w:shd w:fill="FFFFFF"/>
            <w:tcMar>
              <w:top w:w="70" w:type="dxa"/>
              <w:bottom w:w="70" w:type="dxa"/>
              <w:left w:w="80" w:type="dxa"/>
              <w:right w:w="80" w:type="dxa"/>
            </w:tcMar>
          </w:tcPr>
          <w:p>
            <w:r>
              <w:rPr>
                <w:sz w:val="17"/>
              </w:rPr>
              <w:t>Freight Revenue / Surcharges</w:t>
            </w:r>
          </w:p>
        </w:tc>
        <w:tc>
          <w:tcPr>
            <w:tcW w:type="dxa" w:w="2160"/>
            <w:shd w:fill="FFFFFF"/>
            <w:tcMar>
              <w:top w:w="70" w:type="dxa"/>
              <w:bottom w:w="70" w:type="dxa"/>
              <w:left w:w="80" w:type="dxa"/>
              <w:right w:w="80" w:type="dxa"/>
            </w:tcMar>
          </w:tcPr>
          <w:p>
            <w:r>
              <w:rPr>
                <w:sz w:val="17"/>
              </w:rPr>
              <w:t>ERF (Freight Revenue)</w:t>
            </w:r>
          </w:p>
        </w:tc>
        <w:tc>
          <w:tcPr>
            <w:tcW w:type="dxa" w:w="1728"/>
            <w:shd w:fill="FFFFFF"/>
            <w:tcMar>
              <w:top w:w="70" w:type="dxa"/>
              <w:bottom w:w="70" w:type="dxa"/>
              <w:left w:w="80" w:type="dxa"/>
              <w:right w:w="80" w:type="dxa"/>
            </w:tcMar>
          </w:tcPr>
          <w:p>
            <w:r>
              <w:rPr>
                <w:sz w:val="17"/>
              </w:rPr>
              <w:t>Credit (Cr.)</w:t>
            </w:r>
          </w:p>
        </w:tc>
        <w:tc>
          <w:tcPr>
            <w:tcW w:type="dxa" w:w="1872"/>
            <w:shd w:fill="FFFFFF"/>
            <w:tcMar>
              <w:top w:w="70" w:type="dxa"/>
              <w:bottom w:w="70" w:type="dxa"/>
              <w:left w:w="80" w:type="dxa"/>
              <w:right w:w="80" w:type="dxa"/>
            </w:tcMar>
          </w:tcPr>
          <w:p>
            <w:r>
              <w:rPr>
                <w:sz w:val="17"/>
              </w:rPr>
              <w:t>$2,500.00</w:t>
            </w:r>
          </w:p>
        </w:tc>
      </w:tr>
      <w:tr>
        <w:tc>
          <w:tcPr>
            <w:tcW w:type="dxa" w:w="3600"/>
            <w:shd w:fill="F9FBFD"/>
            <w:tcMar>
              <w:top w:w="70" w:type="dxa"/>
              <w:bottom w:w="70" w:type="dxa"/>
              <w:left w:w="80" w:type="dxa"/>
              <w:right w:w="80" w:type="dxa"/>
            </w:tcMar>
          </w:tcPr>
          <w:p>
            <w:r>
              <w:rPr>
                <w:sz w:val="17"/>
              </w:rPr>
              <w:t>Output Tax Payable (VAT)</w:t>
            </w:r>
          </w:p>
        </w:tc>
        <w:tc>
          <w:tcPr>
            <w:tcW w:type="dxa" w:w="2160"/>
            <w:shd w:fill="F9FBFD"/>
            <w:tcMar>
              <w:top w:w="70" w:type="dxa"/>
              <w:bottom w:w="70" w:type="dxa"/>
              <w:left w:w="80" w:type="dxa"/>
              <w:right w:w="80" w:type="dxa"/>
            </w:tcMar>
          </w:tcPr>
          <w:p>
            <w:r>
              <w:rPr>
                <w:sz w:val="17"/>
              </w:rPr>
              <w:t>MWS (Tax Payable)</w:t>
            </w:r>
          </w:p>
        </w:tc>
        <w:tc>
          <w:tcPr>
            <w:tcW w:type="dxa" w:w="1728"/>
            <w:shd w:fill="F9FBFD"/>
            <w:tcMar>
              <w:top w:w="70" w:type="dxa"/>
              <w:bottom w:w="70" w:type="dxa"/>
              <w:left w:w="80" w:type="dxa"/>
              <w:right w:w="80" w:type="dxa"/>
            </w:tcMar>
          </w:tcPr>
          <w:p>
            <w:r>
              <w:rPr>
                <w:sz w:val="17"/>
              </w:rPr>
              <w:t>Credit (Cr.)</w:t>
            </w:r>
          </w:p>
        </w:tc>
        <w:tc>
          <w:tcPr>
            <w:tcW w:type="dxa" w:w="1872"/>
            <w:shd w:fill="F9FBFD"/>
            <w:tcMar>
              <w:top w:w="70" w:type="dxa"/>
              <w:bottom w:w="70" w:type="dxa"/>
              <w:left w:w="80" w:type="dxa"/>
              <w:right w:w="80" w:type="dxa"/>
            </w:tcMar>
          </w:tcPr>
          <w:p>
            <w:r>
              <w:rPr>
                <w:sz w:val="17"/>
              </w:rPr>
              <w:t>$16,720.00</w:t>
            </w:r>
          </w:p>
        </w:tc>
      </w:tr>
    </w:tbl>
    <w:p>
      <w:pPr>
        <w:spacing w:after="120"/>
      </w:pPr>
    </w:p>
    <w:p>
      <w:pPr>
        <w:keepNext/>
        <w:spacing w:before="240" w:after="80"/>
      </w:pPr>
      <w:r>
        <w:rPr>
          <w:rFonts w:ascii="Arial" w:hAnsi="Arial"/>
          <w:b/>
          <w:color w:val="2E5B88"/>
          <w:sz w:val="24"/>
        </w:rPr>
        <w:t>Impact on Revenue Recognition (IFRS 15 / ASC 606 Compliance)</w:t>
      </w:r>
    </w:p>
    <w:p>
      <w:pPr>
        <w:spacing w:after="120"/>
      </w:pPr>
      <w:r>
        <w:t>Under modern accounting standards (IFRS 15 / ASC 606), revenue must be recognized based on performance obligations and transaction price allocation. Variable consideration—such as volume discounts and rebates—must be estimated at order inception. In SAP RAR (Revenue Accounting and Reporting), customized condition types map directly to standalone selling price (SSP) formulas to ensure compliance.</w:t>
      </w:r>
    </w:p>
    <w:p>
      <w:pPr>
        <w:keepNext/>
        <w:spacing w:before="320" w:after="120"/>
      </w:pPr>
      <w:r>
        <w:rPr>
          <w:rFonts w:ascii="Arial" w:hAnsi="Arial"/>
          <w:b/>
          <w:color w:val="1B365D"/>
          <w:sz w:val="28"/>
        </w:rPr>
        <w:t>7. Interrelation Architecture: Pricing, Discounts, and Billing</w:t>
      </w:r>
    </w:p>
    <w:p>
      <w:pPr>
        <w:spacing w:after="120"/>
      </w:pPr>
      <w:r>
        <w:t>The diagram below illustrates the end-to-end data flow across master data, sales order processing, pricing condition evaluation, billing document creation, and accounting posting.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0" w:line="312" w:lineRule="auto"/>
            </w:pPr>
            <w:r>
              <w:rPr>
                <w:b/>
              </w:rPr>
              <w:t>[MASTER DATA]</w:t>
              <w:br/>
            </w:r>
            <w:r>
              <w:rPr>
                <w:color w:val="2E5B88"/>
              </w:rPr>
              <w:t xml:space="preserve"> Customer Master (Cust Grp) + Material Master (Tax Class) + Condition Records (VK11)</w:t>
              <w:br/>
            </w:r>
            <w:r>
              <w:rPr>
                <w:b/>
              </w:rPr>
              <w:t xml:space="preserve">                                  ↓</w:t>
              <w:br/>
            </w:r>
            <w:r>
              <w:rPr>
                <w:b/>
              </w:rPr>
              <w:t>[SALES ORDER CREATION (VA01)]</w:t>
              <w:br/>
            </w:r>
            <w:r>
              <w:rPr>
                <w:color w:val="2E5B88"/>
              </w:rPr>
              <w:t xml:space="preserve"> Document Type (OR) -&gt; Triggers Pricing Procedure (ZAPX01) -&gt; Evaluates Access Sequences</w:t>
              <w:br/>
            </w:r>
            <w:r>
              <w:rPr>
                <w:b/>
              </w:rPr>
              <w:t xml:space="preserve">                                  ↓</w:t>
              <w:br/>
            </w:r>
            <w:r>
              <w:rPr>
                <w:b/>
              </w:rPr>
              <w:t>[PRICING ANALYSIS ENGINE]</w:t>
              <w:br/>
            </w:r>
            <w:r>
              <w:rPr>
                <w:color w:val="2E5B88"/>
              </w:rPr>
              <w:t xml:space="preserve"> Evaluates PR00 (Gross) -&gt; Subtracts K007/K005 (Discounts) -&gt; Adds HD00 -&gt; Calculates MWST</w:t>
              <w:br/>
            </w:r>
            <w:r>
              <w:rPr>
                <w:b/>
              </w:rPr>
              <w:t xml:space="preserve">                                  ↓</w:t>
              <w:br/>
            </w:r>
            <w:r>
              <w:rPr>
                <w:b/>
              </w:rPr>
              <w:t>[BILLING DOCUMENT (VF01)]</w:t>
              <w:br/>
            </w:r>
            <w:r>
              <w:rPr>
                <w:color w:val="2E5B88"/>
              </w:rPr>
              <w:t xml:space="preserve"> Copies Order/Delivery Net Values -&gt; Determines Billing Type (F2) -&gt; Generates Account Keys</w:t>
              <w:br/>
            </w:r>
            <w:r>
              <w:rPr>
                <w:b/>
              </w:rPr>
              <w:t xml:space="preserve">                                  ↓</w:t>
              <w:br/>
            </w:r>
            <w:r>
              <w:rPr>
                <w:b/>
              </w:rPr>
              <w:t>[FINANCIAL ACCOUNTING (FI-GL)]</w:t>
              <w:br/>
            </w:r>
            <w:r>
              <w:t xml:space="preserve"> Automatic Posting (VKOA): Dr. Customer A/R | Cr. Revenue | Dr. Discounts | Cr. Tax Payable</w:t>
            </w:r>
          </w:p>
        </w:tc>
      </w:tr>
    </w:tbl>
    <w:p>
      <w:pPr>
        <w:spacing w:after="120"/>
      </w:pPr>
    </w:p>
    <w:p>
      <w:pPr>
        <w:keepNext/>
        <w:spacing w:before="320" w:after="120"/>
      </w:pPr>
      <w:r>
        <w:rPr>
          <w:rFonts w:ascii="Arial" w:hAnsi="Arial"/>
          <w:b/>
          <w:color w:val="1B365D"/>
          <w:sz w:val="28"/>
        </w:rPr>
        <w:t>8. Risk Evaluation, Potential Errors &amp; Troubleshooting Strategies</w:t>
      </w:r>
    </w:p>
    <w:p>
      <w:pPr>
        <w:spacing w:after="120"/>
      </w:pPr>
      <w:r>
        <w:t>In complex SAP SD environments, pricing and billing discrepancies can cause posting blocks, delayed revenue recognition, and compliance failures. Below is an operational risk matrix and troubleshooting guide.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B365D"/>
          </w:tcPr>
          <w:p>
            <w:r>
              <w:rPr>
                <w:b/>
                <w:color w:val="FFFFFF"/>
                <w:sz w:val="17"/>
              </w:rPr>
              <w:t>Operational Risk / Issue</w:t>
            </w:r>
          </w:p>
        </w:tc>
        <w:tc>
          <w:tcPr>
            <w:tcW w:type="dxa" w:w="2160"/>
            <w:shd w:fill="1B365D"/>
          </w:tcPr>
          <w:p>
            <w:r>
              <w:rPr>
                <w:b/>
                <w:color w:val="FFFFFF"/>
                <w:sz w:val="17"/>
              </w:rPr>
              <w:t>Root Cause in SAP</w:t>
            </w:r>
          </w:p>
        </w:tc>
        <w:tc>
          <w:tcPr>
            <w:tcW w:type="dxa" w:w="2160"/>
            <w:shd w:fill="1B365D"/>
          </w:tcPr>
          <w:p>
            <w:r>
              <w:rPr>
                <w:b/>
                <w:color w:val="FFFFFF"/>
                <w:sz w:val="17"/>
              </w:rPr>
              <w:t>System Impact</w:t>
            </w:r>
          </w:p>
        </w:tc>
        <w:tc>
          <w:tcPr>
            <w:tcW w:type="dxa" w:w="2880"/>
            <w:shd w:fill="1B365D"/>
          </w:tcPr>
          <w:p>
            <w:r>
              <w:rPr>
                <w:b/>
                <w:color w:val="FFFFFF"/>
                <w:sz w:val="17"/>
              </w:rPr>
              <w:t>Mitigation &amp; Troubleshooting Strategy</w:t>
            </w:r>
          </w:p>
        </w:tc>
      </w:tr>
      <w:tr>
        <w:tc>
          <w:tcPr>
            <w:tcW w:type="dxa" w:w="2160"/>
            <w:shd w:fill="F9FBFD"/>
            <w:tcMar>
              <w:top w:w="70" w:type="dxa"/>
              <w:bottom w:w="70" w:type="dxa"/>
              <w:left w:w="70" w:type="dxa"/>
              <w:right w:w="70" w:type="dxa"/>
            </w:tcMar>
          </w:tcPr>
          <w:p>
            <w:r>
              <w:rPr>
                <w:sz w:val="17"/>
              </w:rPr>
              <w:t>Unreleased Billing Block (Sys Error FF753)</w:t>
            </w:r>
          </w:p>
        </w:tc>
        <w:tc>
          <w:tcPr>
            <w:tcW w:type="dxa" w:w="2160"/>
            <w:shd w:fill="F9FBFD"/>
            <w:tcMar>
              <w:top w:w="70" w:type="dxa"/>
              <w:bottom w:w="70" w:type="dxa"/>
              <w:left w:w="70" w:type="dxa"/>
              <w:right w:w="70" w:type="dxa"/>
            </w:tcMar>
          </w:tcPr>
          <w:p>
            <w:r>
              <w:rPr>
                <w:sz w:val="17"/>
              </w:rPr>
              <w:t>Missing or misconfigured G/L Account Assignment in VKOA for Account Key ERS/ERL.</w:t>
            </w:r>
          </w:p>
        </w:tc>
        <w:tc>
          <w:tcPr>
            <w:tcW w:type="dxa" w:w="2160"/>
            <w:shd w:fill="F9FBFD"/>
            <w:tcMar>
              <w:top w:w="70" w:type="dxa"/>
              <w:bottom w:w="70" w:type="dxa"/>
              <w:left w:w="70" w:type="dxa"/>
              <w:right w:w="70" w:type="dxa"/>
            </w:tcMar>
          </w:tcPr>
          <w:p>
            <w:r>
              <w:rPr>
                <w:sz w:val="17"/>
              </w:rPr>
              <w:t>Billing document stays in 'Posting Block' state; revenue not realized in FI.</w:t>
            </w:r>
          </w:p>
        </w:tc>
        <w:tc>
          <w:tcPr>
            <w:tcW w:type="dxa" w:w="2880"/>
            <w:shd w:fill="F9FBFD"/>
            <w:tcMar>
              <w:top w:w="70" w:type="dxa"/>
              <w:bottom w:w="70" w:type="dxa"/>
              <w:left w:w="70" w:type="dxa"/>
              <w:right w:w="70" w:type="dxa"/>
            </w:tcMar>
          </w:tcPr>
          <w:p>
            <w:r>
              <w:rPr>
                <w:sz w:val="17"/>
              </w:rPr>
              <w:t>Execute Transaction VKOA; verify Sales Org, Chart of Accounts, and Account Key mapping. Use VF02 -&gt; Release to Accounting.</w:t>
            </w:r>
          </w:p>
        </w:tc>
      </w:tr>
      <w:tr>
        <w:tc>
          <w:tcPr>
            <w:tcW w:type="dxa" w:w="2160"/>
            <w:shd w:fill="FFFFFF"/>
            <w:tcMar>
              <w:top w:w="70" w:type="dxa"/>
              <w:bottom w:w="70" w:type="dxa"/>
              <w:left w:w="70" w:type="dxa"/>
              <w:right w:w="70" w:type="dxa"/>
            </w:tcMar>
          </w:tcPr>
          <w:p>
            <w:r>
              <w:rPr>
                <w:sz w:val="17"/>
              </w:rPr>
              <w:t>Incorrect Tax Calculation (MWST = $0)</w:t>
            </w:r>
          </w:p>
        </w:tc>
        <w:tc>
          <w:tcPr>
            <w:tcW w:type="dxa" w:w="2160"/>
            <w:shd w:fill="FFFFFF"/>
            <w:tcMar>
              <w:top w:w="70" w:type="dxa"/>
              <w:bottom w:w="70" w:type="dxa"/>
              <w:left w:w="70" w:type="dxa"/>
              <w:right w:w="70" w:type="dxa"/>
            </w:tcMar>
          </w:tcPr>
          <w:p>
            <w:r>
              <w:rPr>
                <w:sz w:val="17"/>
              </w:rPr>
              <w:t>Missing Tax Classification in Customer Master (KNVI) or Material Master (MG03).</w:t>
            </w:r>
          </w:p>
        </w:tc>
        <w:tc>
          <w:tcPr>
            <w:tcW w:type="dxa" w:w="2160"/>
            <w:shd w:fill="FFFFFF"/>
            <w:tcMar>
              <w:top w:w="70" w:type="dxa"/>
              <w:bottom w:w="70" w:type="dxa"/>
              <w:left w:w="70" w:type="dxa"/>
              <w:right w:w="70" w:type="dxa"/>
            </w:tcMar>
          </w:tcPr>
          <w:p>
            <w:r>
              <w:rPr>
                <w:sz w:val="17"/>
              </w:rPr>
              <w:t>Non-compliance with statutory tax regulations; wrong customer billing.</w:t>
            </w:r>
          </w:p>
        </w:tc>
        <w:tc>
          <w:tcPr>
            <w:tcW w:type="dxa" w:w="2880"/>
            <w:shd w:fill="FFFFFF"/>
            <w:tcMar>
              <w:top w:w="70" w:type="dxa"/>
              <w:bottom w:w="70" w:type="dxa"/>
              <w:left w:w="70" w:type="dxa"/>
              <w:right w:w="70" w:type="dxa"/>
            </w:tcMar>
          </w:tcPr>
          <w:p>
            <w:r>
              <w:rPr>
                <w:sz w:val="17"/>
              </w:rPr>
              <w:t>Verify VK11 tax condition records and confirm Customer/Material tax indicator = 1 (Liable for tax).</w:t>
            </w:r>
          </w:p>
        </w:tc>
      </w:tr>
      <w:tr>
        <w:tc>
          <w:tcPr>
            <w:tcW w:type="dxa" w:w="2160"/>
            <w:shd w:fill="F9FBFD"/>
            <w:tcMar>
              <w:top w:w="70" w:type="dxa"/>
              <w:bottom w:w="70" w:type="dxa"/>
              <w:left w:w="70" w:type="dxa"/>
              <w:right w:w="70" w:type="dxa"/>
            </w:tcMar>
          </w:tcPr>
          <w:p>
            <w:r>
              <w:rPr>
                <w:sz w:val="17"/>
              </w:rPr>
              <w:t>Condition Exclusion Failure</w:t>
            </w:r>
          </w:p>
        </w:tc>
        <w:tc>
          <w:tcPr>
            <w:tcW w:type="dxa" w:w="2160"/>
            <w:shd w:fill="F9FBFD"/>
            <w:tcMar>
              <w:top w:w="70" w:type="dxa"/>
              <w:bottom w:w="70" w:type="dxa"/>
              <w:left w:w="70" w:type="dxa"/>
              <w:right w:w="70" w:type="dxa"/>
            </w:tcMar>
          </w:tcPr>
          <w:p>
            <w:r>
              <w:rPr>
                <w:sz w:val="17"/>
              </w:rPr>
              <w:t>Conflicting discounts applied simultaneously when only highest should apply.</w:t>
            </w:r>
          </w:p>
        </w:tc>
        <w:tc>
          <w:tcPr>
            <w:tcW w:type="dxa" w:w="2160"/>
            <w:shd w:fill="F9FBFD"/>
            <w:tcMar>
              <w:top w:w="70" w:type="dxa"/>
              <w:bottom w:w="70" w:type="dxa"/>
              <w:left w:w="70" w:type="dxa"/>
              <w:right w:w="70" w:type="dxa"/>
            </w:tcMar>
          </w:tcPr>
          <w:p>
            <w:r>
              <w:rPr>
                <w:sz w:val="17"/>
              </w:rPr>
              <w:t>Unintended margin erosion due to stacking discounts.</w:t>
            </w:r>
          </w:p>
        </w:tc>
        <w:tc>
          <w:tcPr>
            <w:tcW w:type="dxa" w:w="2880"/>
            <w:shd w:fill="F9FBFD"/>
            <w:tcMar>
              <w:top w:w="70" w:type="dxa"/>
              <w:bottom w:w="70" w:type="dxa"/>
              <w:left w:w="70" w:type="dxa"/>
              <w:right w:w="70" w:type="dxa"/>
            </w:tcMar>
          </w:tcPr>
          <w:p>
            <w:r>
              <w:rPr>
                <w:sz w:val="17"/>
              </w:rPr>
              <w:t>Configure Condition Exclusion Groups (Transaction SPRO -&gt; Basic Functions -&gt; Pricing -&gt; Condition Exclusion).</w:t>
            </w:r>
          </w:p>
        </w:tc>
      </w:tr>
      <w:tr>
        <w:tc>
          <w:tcPr>
            <w:tcW w:type="dxa" w:w="2160"/>
            <w:shd w:fill="FFFFFF"/>
            <w:tcMar>
              <w:top w:w="70" w:type="dxa"/>
              <w:bottom w:w="70" w:type="dxa"/>
              <w:left w:w="70" w:type="dxa"/>
              <w:right w:w="70" w:type="dxa"/>
            </w:tcMar>
          </w:tcPr>
          <w:p>
            <w:r>
              <w:rPr>
                <w:sz w:val="17"/>
              </w:rPr>
              <w:t>Incomplete Pricing Error (V1 208)</w:t>
            </w:r>
          </w:p>
        </w:tc>
        <w:tc>
          <w:tcPr>
            <w:tcW w:type="dxa" w:w="2160"/>
            <w:shd w:fill="FFFFFF"/>
            <w:tcMar>
              <w:top w:w="70" w:type="dxa"/>
              <w:bottom w:w="70" w:type="dxa"/>
              <w:left w:w="70" w:type="dxa"/>
              <w:right w:w="70" w:type="dxa"/>
            </w:tcMar>
          </w:tcPr>
          <w:p>
            <w:r>
              <w:rPr>
                <w:sz w:val="17"/>
              </w:rPr>
              <w:t>Mandatory condition type (e.g., PR00) missing valid condition record for order date.</w:t>
            </w:r>
          </w:p>
        </w:tc>
        <w:tc>
          <w:tcPr>
            <w:tcW w:type="dxa" w:w="2160"/>
            <w:shd w:fill="FFFFFF"/>
            <w:tcMar>
              <w:top w:w="70" w:type="dxa"/>
              <w:bottom w:w="70" w:type="dxa"/>
              <w:left w:w="70" w:type="dxa"/>
              <w:right w:w="70" w:type="dxa"/>
            </w:tcMar>
          </w:tcPr>
          <w:p>
            <w:r>
              <w:rPr>
                <w:sz w:val="17"/>
              </w:rPr>
              <w:t>Sales order cannot be saved or processed for delivery.</w:t>
            </w:r>
          </w:p>
        </w:tc>
        <w:tc>
          <w:tcPr>
            <w:tcW w:type="dxa" w:w="2880"/>
            <w:shd w:fill="FFFFFF"/>
            <w:tcMar>
              <w:top w:w="70" w:type="dxa"/>
              <w:bottom w:w="70" w:type="dxa"/>
              <w:left w:w="70" w:type="dxa"/>
              <w:right w:w="70" w:type="dxa"/>
            </w:tcMar>
          </w:tcPr>
          <w:p>
            <w:r>
              <w:rPr>
                <w:sz w:val="17"/>
              </w:rPr>
              <w:t>Check VK11 validity dates; run pricing analysis in VA02 (Item -&gt; Pricing -&gt; Analysis) to inspect search path.</w:t>
            </w:r>
          </w:p>
        </w:tc>
      </w:tr>
    </w:tbl>
    <w:p>
      <w:pPr>
        <w:spacing w:after="240"/>
      </w:pP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80" w:type="dxa"/>
              <w:right w:w="180" w:type="dxa"/>
            </w:tcMar>
          </w:tcPr>
          <w:p>
            <w:pPr>
              <w:spacing w:after="0"/>
            </w:pPr>
            <w:r>
              <w:rPr>
                <w:b/>
                <w:color w:val="1B365D"/>
              </w:rPr>
              <w:t xml:space="preserve">[CONCLUSION &amp; GO-LIVE RECOMMENDATION] </w:t>
            </w:r>
            <w:r>
              <w:t>By establishing clear Condition Technique hierarchies, rigorous VKOA account determination, and automated condition exclusion logic, enterprise organizations can completely automate order-to-cash pricing workflows while mitigating financial posting risks.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