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003366"/>
          <w:sz w:val="48"/>
        </w:rPr>
        <w:t>Week 4 Task: End-to-End Order-to-Cash Simulation and Evaluation</w:t>
      </w:r>
    </w:p>
    <w:p>
      <w:pPr>
        <w:spacing w:after="360"/>
        <w:jc w:val="left"/>
      </w:pPr>
      <w:r>
        <w:rPr>
          <w:rFonts w:ascii="Calibri" w:hAnsi="Calibri"/>
          <w:i/>
          <w:color w:val="46505F"/>
          <w:sz w:val="26"/>
        </w:rPr>
        <w:t>Junior SAP SD Consultant Internship Documentation | Comprehensive Process Architecture &amp; Testing Framework</w:t>
      </w:r>
    </w:p>
    <w:p>
      <w:pPr>
        <w:spacing w:before="320" w:after="120"/>
      </w:pPr>
      <w:r>
        <w:rPr>
          <w:rFonts w:ascii="Calibri" w:hAnsi="Calibri"/>
          <w:b/>
          <w:color w:val="003366"/>
          <w:sz w:val="32"/>
        </w:rPr>
        <w:t>1. Executive Overview &amp; Objective</w:t>
      </w:r>
    </w:p>
    <w:p>
      <w:pPr>
        <w:spacing w:after="120" w:line="276" w:lineRule="auto"/>
      </w:pPr>
      <w:r>
        <w:rPr>
          <w:rFonts w:ascii="Calibri" w:hAnsi="Calibri"/>
          <w:color w:val="323232"/>
          <w:sz w:val="22"/>
        </w:rPr>
        <w:t>This document provides a comprehensive end-to-end simulation, testing methodology, and evaluation framework for the Order-to-Cash (O2C) cycle within the SAP Sales and Distribution (SD) framework.</w:t>
      </w:r>
    </w:p>
    <w:p>
      <w:pPr>
        <w:spacing w:after="120" w:line="276" w:lineRule="auto"/>
      </w:pPr>
      <w:r>
        <w:rPr>
          <w:rFonts w:ascii="Calibri" w:hAnsi="Calibri"/>
          <w:color w:val="323232"/>
          <w:sz w:val="22"/>
        </w:rPr>
        <w:t>The objective of this project is to simulate and evaluate the entire lifecycle from initial order placement through fulfillment, invoicing, and cash receipt. Special emphasis is placed on end-to-end integration testing, process bottleneck identification, risk mitigation, and strategic process improvement recommendations tailored for modern enterprise SAP ERP / S/4HANA deployment.</w:t>
      </w:r>
    </w:p>
    <w:p>
      <w:pPr>
        <w:spacing w:before="320" w:after="120"/>
      </w:pPr>
      <w:r>
        <w:rPr>
          <w:rFonts w:ascii="Calibri" w:hAnsi="Calibri"/>
          <w:b/>
          <w:color w:val="003366"/>
          <w:sz w:val="32"/>
        </w:rPr>
        <w:t>2. End-to-End O2C Process Flow Diagram &amp; Architecture</w:t>
      </w:r>
    </w:p>
    <w:p>
      <w:pPr>
        <w:spacing w:after="120" w:line="276" w:lineRule="auto"/>
      </w:pPr>
      <w:r>
        <w:rPr>
          <w:rFonts w:ascii="Calibri" w:hAnsi="Calibri"/>
          <w:color w:val="323232"/>
          <w:sz w:val="22"/>
        </w:rPr>
        <w:t>The complete Order-to-Cash cycle encompasses six primary functional stages across SAP SD, MM, and FI modules:</w:t>
      </w:r>
    </w:p>
    <w:tbl>
      <w:tblPr>
        <w:tblW w:type="auto" w:w="0"/>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2340"/>
        <w:gridCol w:w="2340"/>
        <w:gridCol w:w="2340"/>
        <w:gridCol w:w="2340"/>
      </w:tblGrid>
      <w:tr>
        <w:tc>
          <w:tcPr>
            <w:tcW w:type="dxa" w:w="2340"/>
            <w:shd w:fill="003366"/>
            <w:tcMar>
              <w:top w:w="120" w:type="dxa"/>
              <w:bottom w:w="120" w:type="dxa"/>
              <w:left w:w="100" w:type="dxa"/>
              <w:right w:w="100" w:type="dxa"/>
            </w:tcMar>
          </w:tcPr>
          <w:p>
            <w:r>
              <w:rPr>
                <w:b/>
                <w:color w:val="FFFFFF"/>
                <w:sz w:val="20"/>
              </w:rPr>
              <w:t>Stage</w:t>
            </w:r>
          </w:p>
        </w:tc>
        <w:tc>
          <w:tcPr>
            <w:tcW w:type="dxa" w:w="2340"/>
            <w:shd w:fill="003366"/>
            <w:tcMar>
              <w:top w:w="120" w:type="dxa"/>
              <w:bottom w:w="120" w:type="dxa"/>
              <w:left w:w="100" w:type="dxa"/>
              <w:right w:w="100" w:type="dxa"/>
            </w:tcMar>
          </w:tcPr>
          <w:p>
            <w:r>
              <w:rPr>
                <w:b/>
                <w:color w:val="FFFFFF"/>
                <w:sz w:val="20"/>
              </w:rPr>
              <w:t>SAP Transaction / App</w:t>
            </w:r>
          </w:p>
        </w:tc>
        <w:tc>
          <w:tcPr>
            <w:tcW w:type="dxa" w:w="2340"/>
            <w:shd w:fill="003366"/>
            <w:tcMar>
              <w:top w:w="120" w:type="dxa"/>
              <w:bottom w:w="120" w:type="dxa"/>
              <w:left w:w="100" w:type="dxa"/>
              <w:right w:w="100" w:type="dxa"/>
            </w:tcMar>
          </w:tcPr>
          <w:p>
            <w:r>
              <w:rPr>
                <w:b/>
                <w:color w:val="FFFFFF"/>
                <w:sz w:val="20"/>
              </w:rPr>
              <w:t>Key Input Data</w:t>
            </w:r>
          </w:p>
        </w:tc>
        <w:tc>
          <w:tcPr>
            <w:tcW w:type="dxa" w:w="2340"/>
            <w:shd w:fill="003366"/>
            <w:tcMar>
              <w:top w:w="120" w:type="dxa"/>
              <w:bottom w:w="120" w:type="dxa"/>
              <w:left w:w="100" w:type="dxa"/>
              <w:right w:w="100" w:type="dxa"/>
            </w:tcMar>
          </w:tcPr>
          <w:p>
            <w:r>
              <w:rPr>
                <w:b/>
                <w:color w:val="FFFFFF"/>
                <w:sz w:val="20"/>
              </w:rPr>
              <w:t>Output Artifact / Outcome</w:t>
            </w:r>
          </w:p>
        </w:tc>
      </w:tr>
      <w:tr>
        <w:tc>
          <w:tcPr>
            <w:tcW w:type="dxa" w:w="2340"/>
            <w:tcMar>
              <w:top w:w="100" w:type="dxa"/>
              <w:bottom w:w="100" w:type="dxa"/>
              <w:left w:w="100" w:type="dxa"/>
              <w:right w:w="100" w:type="dxa"/>
            </w:tcMar>
          </w:tcPr>
          <w:p>
            <w:r>
              <w:rPr>
                <w:color w:val="323232"/>
                <w:sz w:val="19"/>
              </w:rPr>
              <w:t>1. Sales Order Creation</w:t>
            </w:r>
          </w:p>
        </w:tc>
        <w:tc>
          <w:tcPr>
            <w:tcW w:type="dxa" w:w="2340"/>
            <w:tcMar>
              <w:top w:w="100" w:type="dxa"/>
              <w:bottom w:w="100" w:type="dxa"/>
              <w:left w:w="100" w:type="dxa"/>
              <w:right w:w="100" w:type="dxa"/>
            </w:tcMar>
          </w:tcPr>
          <w:p>
            <w:r>
              <w:rPr>
                <w:color w:val="323232"/>
                <w:sz w:val="19"/>
              </w:rPr>
              <w:t>VA01 / Fiori 'Create Sales Orders'</w:t>
            </w:r>
          </w:p>
        </w:tc>
        <w:tc>
          <w:tcPr>
            <w:tcW w:type="dxa" w:w="2340"/>
            <w:tcMar>
              <w:top w:w="100" w:type="dxa"/>
              <w:bottom w:w="100" w:type="dxa"/>
              <w:left w:w="100" w:type="dxa"/>
              <w:right w:w="100" w:type="dxa"/>
            </w:tcMar>
          </w:tcPr>
          <w:p>
            <w:r>
              <w:rPr>
                <w:color w:val="323232"/>
                <w:sz w:val="19"/>
              </w:rPr>
              <w:t>Sold-To Party, PO Number, Material, Qty, Plant</w:t>
            </w:r>
          </w:p>
        </w:tc>
        <w:tc>
          <w:tcPr>
            <w:tcW w:type="dxa" w:w="2340"/>
            <w:tcMar>
              <w:top w:w="100" w:type="dxa"/>
              <w:bottom w:w="100" w:type="dxa"/>
              <w:left w:w="100" w:type="dxa"/>
              <w:right w:w="100" w:type="dxa"/>
            </w:tcMar>
          </w:tcPr>
          <w:p>
            <w:r>
              <w:rPr>
                <w:color w:val="323232"/>
                <w:sz w:val="19"/>
              </w:rPr>
              <w:t>Standard Sales Order (Doc Type: OR)</w:t>
            </w:r>
          </w:p>
        </w:tc>
      </w:tr>
      <w:tr>
        <w:tc>
          <w:tcPr>
            <w:tcW w:type="dxa" w:w="2340"/>
            <w:tcMar>
              <w:top w:w="100" w:type="dxa"/>
              <w:bottom w:w="100" w:type="dxa"/>
              <w:left w:w="100" w:type="dxa"/>
              <w:right w:w="100" w:type="dxa"/>
            </w:tcMar>
          </w:tcPr>
          <w:p>
            <w:r>
              <w:rPr>
                <w:color w:val="323232"/>
                <w:sz w:val="19"/>
              </w:rPr>
              <w:t>2. Credit &amp; Availability Check</w:t>
            </w:r>
          </w:p>
        </w:tc>
        <w:tc>
          <w:tcPr>
            <w:tcW w:type="dxa" w:w="2340"/>
            <w:tcMar>
              <w:top w:w="100" w:type="dxa"/>
              <w:bottom w:w="100" w:type="dxa"/>
              <w:left w:w="100" w:type="dxa"/>
              <w:right w:w="100" w:type="dxa"/>
            </w:tcMar>
          </w:tcPr>
          <w:p>
            <w:r>
              <w:rPr>
                <w:color w:val="323232"/>
                <w:sz w:val="19"/>
              </w:rPr>
              <w:t>VK11 / VKM3 / ATP Engine</w:t>
            </w:r>
          </w:p>
        </w:tc>
        <w:tc>
          <w:tcPr>
            <w:tcW w:type="dxa" w:w="2340"/>
            <w:tcMar>
              <w:top w:w="100" w:type="dxa"/>
              <w:bottom w:w="100" w:type="dxa"/>
              <w:left w:w="100" w:type="dxa"/>
              <w:right w:w="100" w:type="dxa"/>
            </w:tcMar>
          </w:tcPr>
          <w:p>
            <w:r>
              <w:rPr>
                <w:color w:val="323232"/>
                <w:sz w:val="19"/>
              </w:rPr>
              <w:t>Credit Limit, Master Data stock levels</w:t>
            </w:r>
          </w:p>
        </w:tc>
        <w:tc>
          <w:tcPr>
            <w:tcW w:type="dxa" w:w="2340"/>
            <w:tcMar>
              <w:top w:w="100" w:type="dxa"/>
              <w:bottom w:w="100" w:type="dxa"/>
              <w:left w:w="100" w:type="dxa"/>
              <w:right w:w="100" w:type="dxa"/>
            </w:tcMar>
          </w:tcPr>
          <w:p>
            <w:r>
              <w:rPr>
                <w:color w:val="323232"/>
                <w:sz w:val="19"/>
              </w:rPr>
              <w:t>Confirmed Delivery Schedule / Credit Release</w:t>
            </w:r>
          </w:p>
        </w:tc>
      </w:tr>
      <w:tr>
        <w:tc>
          <w:tcPr>
            <w:tcW w:type="dxa" w:w="2340"/>
            <w:tcMar>
              <w:top w:w="100" w:type="dxa"/>
              <w:bottom w:w="100" w:type="dxa"/>
              <w:left w:w="100" w:type="dxa"/>
              <w:right w:w="100" w:type="dxa"/>
            </w:tcMar>
          </w:tcPr>
          <w:p>
            <w:r>
              <w:rPr>
                <w:color w:val="323232"/>
                <w:sz w:val="19"/>
              </w:rPr>
              <w:t>3. Outbound Delivery &amp; Picking</w:t>
            </w:r>
          </w:p>
        </w:tc>
        <w:tc>
          <w:tcPr>
            <w:tcW w:type="dxa" w:w="2340"/>
            <w:tcMar>
              <w:top w:w="100" w:type="dxa"/>
              <w:bottom w:w="100" w:type="dxa"/>
              <w:left w:w="100" w:type="dxa"/>
              <w:right w:w="100" w:type="dxa"/>
            </w:tcMar>
          </w:tcPr>
          <w:p>
            <w:r>
              <w:rPr>
                <w:color w:val="323232"/>
                <w:sz w:val="19"/>
              </w:rPr>
              <w:t>VL01N / VL02N</w:t>
            </w:r>
          </w:p>
        </w:tc>
        <w:tc>
          <w:tcPr>
            <w:tcW w:type="dxa" w:w="2340"/>
            <w:tcMar>
              <w:top w:w="100" w:type="dxa"/>
              <w:bottom w:w="100" w:type="dxa"/>
              <w:left w:w="100" w:type="dxa"/>
              <w:right w:w="100" w:type="dxa"/>
            </w:tcMar>
          </w:tcPr>
          <w:p>
            <w:r>
              <w:rPr>
                <w:color w:val="323232"/>
                <w:sz w:val="19"/>
              </w:rPr>
              <w:t>Shipping Point, Delivery Date, Picker ID</w:t>
            </w:r>
          </w:p>
        </w:tc>
        <w:tc>
          <w:tcPr>
            <w:tcW w:type="dxa" w:w="2340"/>
            <w:tcMar>
              <w:top w:w="100" w:type="dxa"/>
              <w:bottom w:w="100" w:type="dxa"/>
              <w:left w:w="100" w:type="dxa"/>
              <w:right w:w="100" w:type="dxa"/>
            </w:tcMar>
          </w:tcPr>
          <w:p>
            <w:r>
              <w:rPr>
                <w:color w:val="323232"/>
                <w:sz w:val="19"/>
              </w:rPr>
              <w:t>Outbound Delivery Note &amp; Transfer Order</w:t>
            </w:r>
          </w:p>
        </w:tc>
      </w:tr>
      <w:tr>
        <w:tc>
          <w:tcPr>
            <w:tcW w:type="dxa" w:w="2340"/>
            <w:tcMar>
              <w:top w:w="100" w:type="dxa"/>
              <w:bottom w:w="100" w:type="dxa"/>
              <w:left w:w="100" w:type="dxa"/>
              <w:right w:w="100" w:type="dxa"/>
            </w:tcMar>
          </w:tcPr>
          <w:p>
            <w:r>
              <w:rPr>
                <w:color w:val="323232"/>
                <w:sz w:val="19"/>
              </w:rPr>
              <w:t>4. Goods Issue (PGI)</w:t>
            </w:r>
          </w:p>
        </w:tc>
        <w:tc>
          <w:tcPr>
            <w:tcW w:type="dxa" w:w="2340"/>
            <w:tcMar>
              <w:top w:w="100" w:type="dxa"/>
              <w:bottom w:w="100" w:type="dxa"/>
              <w:left w:w="100" w:type="dxa"/>
              <w:right w:w="100" w:type="dxa"/>
            </w:tcMar>
          </w:tcPr>
          <w:p>
            <w:r>
              <w:rPr>
                <w:color w:val="323232"/>
                <w:sz w:val="19"/>
              </w:rPr>
              <w:t>VL02N (Post Goods Issue)</w:t>
            </w:r>
          </w:p>
        </w:tc>
        <w:tc>
          <w:tcPr>
            <w:tcW w:type="dxa" w:w="2340"/>
            <w:tcMar>
              <w:top w:w="100" w:type="dxa"/>
              <w:bottom w:w="100" w:type="dxa"/>
              <w:left w:w="100" w:type="dxa"/>
              <w:right w:w="100" w:type="dxa"/>
            </w:tcMar>
          </w:tcPr>
          <w:p>
            <w:r>
              <w:rPr>
                <w:color w:val="323232"/>
                <w:sz w:val="19"/>
              </w:rPr>
              <w:t>Storage Location, Batch Number</w:t>
            </w:r>
          </w:p>
        </w:tc>
        <w:tc>
          <w:tcPr>
            <w:tcW w:type="dxa" w:w="2340"/>
            <w:tcMar>
              <w:top w:w="100" w:type="dxa"/>
              <w:bottom w:w="100" w:type="dxa"/>
              <w:left w:w="100" w:type="dxa"/>
              <w:right w:w="100" w:type="dxa"/>
            </w:tcMar>
          </w:tcPr>
          <w:p>
            <w:r>
              <w:rPr>
                <w:color w:val="323232"/>
                <w:sz w:val="19"/>
              </w:rPr>
              <w:t>Material Document &amp; Inventory Financial Debit</w:t>
            </w:r>
          </w:p>
        </w:tc>
      </w:tr>
      <w:tr>
        <w:tc>
          <w:tcPr>
            <w:tcW w:type="dxa" w:w="2340"/>
            <w:tcMar>
              <w:top w:w="100" w:type="dxa"/>
              <w:bottom w:w="100" w:type="dxa"/>
              <w:left w:w="100" w:type="dxa"/>
              <w:right w:w="100" w:type="dxa"/>
            </w:tcMar>
          </w:tcPr>
          <w:p>
            <w:r>
              <w:rPr>
                <w:color w:val="323232"/>
                <w:sz w:val="19"/>
              </w:rPr>
              <w:t>5. Customer Invoicing</w:t>
            </w:r>
          </w:p>
        </w:tc>
        <w:tc>
          <w:tcPr>
            <w:tcW w:type="dxa" w:w="2340"/>
            <w:tcMar>
              <w:top w:w="100" w:type="dxa"/>
              <w:bottom w:w="100" w:type="dxa"/>
              <w:left w:w="100" w:type="dxa"/>
              <w:right w:w="100" w:type="dxa"/>
            </w:tcMar>
          </w:tcPr>
          <w:p>
            <w:r>
              <w:rPr>
                <w:color w:val="323232"/>
                <w:sz w:val="19"/>
              </w:rPr>
              <w:t>VF01 / VF04</w:t>
            </w:r>
          </w:p>
        </w:tc>
        <w:tc>
          <w:tcPr>
            <w:tcW w:type="dxa" w:w="2340"/>
            <w:tcMar>
              <w:top w:w="100" w:type="dxa"/>
              <w:bottom w:w="100" w:type="dxa"/>
              <w:left w:w="100" w:type="dxa"/>
              <w:right w:w="100" w:type="dxa"/>
            </w:tcMar>
          </w:tcPr>
          <w:p>
            <w:r>
              <w:rPr>
                <w:color w:val="323232"/>
                <w:sz w:val="19"/>
              </w:rPr>
              <w:t>Outbound Delivery Number, Billing Date</w:t>
            </w:r>
          </w:p>
        </w:tc>
        <w:tc>
          <w:tcPr>
            <w:tcW w:type="dxa" w:w="2340"/>
            <w:tcMar>
              <w:top w:w="100" w:type="dxa"/>
              <w:bottom w:w="100" w:type="dxa"/>
              <w:left w:w="100" w:type="dxa"/>
              <w:right w:w="100" w:type="dxa"/>
            </w:tcMar>
          </w:tcPr>
          <w:p>
            <w:r>
              <w:rPr>
                <w:color w:val="323232"/>
                <w:sz w:val="19"/>
              </w:rPr>
              <w:t>Billing Document (Doc Type: F2) &amp; Accounting Doc</w:t>
            </w:r>
          </w:p>
        </w:tc>
      </w:tr>
      <w:tr>
        <w:tc>
          <w:tcPr>
            <w:tcW w:type="dxa" w:w="2340"/>
            <w:tcMar>
              <w:top w:w="100" w:type="dxa"/>
              <w:bottom w:w="100" w:type="dxa"/>
              <w:left w:w="100" w:type="dxa"/>
              <w:right w:w="100" w:type="dxa"/>
            </w:tcMar>
          </w:tcPr>
          <w:p>
            <w:r>
              <w:rPr>
                <w:color w:val="323232"/>
                <w:sz w:val="19"/>
              </w:rPr>
              <w:t>6. Cash Application</w:t>
            </w:r>
          </w:p>
        </w:tc>
        <w:tc>
          <w:tcPr>
            <w:tcW w:type="dxa" w:w="2340"/>
            <w:tcMar>
              <w:top w:w="100" w:type="dxa"/>
              <w:bottom w:w="100" w:type="dxa"/>
              <w:left w:w="100" w:type="dxa"/>
              <w:right w:w="100" w:type="dxa"/>
            </w:tcMar>
          </w:tcPr>
          <w:p>
            <w:r>
              <w:rPr>
                <w:color w:val="323232"/>
                <w:sz w:val="19"/>
              </w:rPr>
              <w:t>F-28 / F110 / FB05</w:t>
            </w:r>
          </w:p>
        </w:tc>
        <w:tc>
          <w:tcPr>
            <w:tcW w:type="dxa" w:w="2340"/>
            <w:tcMar>
              <w:top w:w="100" w:type="dxa"/>
              <w:bottom w:w="100" w:type="dxa"/>
              <w:left w:w="100" w:type="dxa"/>
              <w:right w:w="100" w:type="dxa"/>
            </w:tcMar>
          </w:tcPr>
          <w:p>
            <w:r>
              <w:rPr>
                <w:color w:val="323232"/>
                <w:sz w:val="19"/>
              </w:rPr>
              <w:t>Customer Remittance, Bank Statement, Invoice #</w:t>
            </w:r>
          </w:p>
        </w:tc>
        <w:tc>
          <w:tcPr>
            <w:tcW w:type="dxa" w:w="2340"/>
            <w:tcMar>
              <w:top w:w="100" w:type="dxa"/>
              <w:bottom w:w="100" w:type="dxa"/>
              <w:left w:w="100" w:type="dxa"/>
              <w:right w:w="100" w:type="dxa"/>
            </w:tcMar>
          </w:tcPr>
          <w:p>
            <w:r>
              <w:rPr>
                <w:color w:val="323232"/>
                <w:sz w:val="19"/>
              </w:rPr>
              <w:t>Cleared Clearing Document &amp; Customer Ledger Credit</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r>
              <w:rPr>
                <w:rFonts w:ascii="Calibri" w:hAnsi="Calibri"/>
                <w:b/>
                <w:color w:val="003366"/>
                <w:sz w:val="21"/>
              </w:rPr>
              <w:t xml:space="preserve">■ PROCESS FLOW MAP: </w:t>
            </w:r>
            <w:r>
              <w:rPr>
                <w:rFonts w:ascii="Calibri" w:hAnsi="Calibri"/>
                <w:i/>
                <w:color w:val="323232"/>
                <w:sz w:val="21"/>
              </w:rPr>
              <w:t>Order Placement (VA01) ➔ Credit &amp; Stock Check (ATP/VKM3) ➔ Outbound Delivery (VL01N) ➔ Pick &amp; Pack (WM/EWM) ➔ Post Goods Issue (VL02N) ➔ Customer Billing (VF01) ➔ Payment Clearing (F-28)</w:t>
            </w:r>
          </w:p>
        </w:tc>
      </w:tr>
    </w:tbl>
    <w:p>
      <w:pPr>
        <w:spacing w:after="80"/>
      </w:pPr>
    </w:p>
    <w:p>
      <w:pPr>
        <w:spacing w:before="320" w:after="120"/>
      </w:pPr>
      <w:r>
        <w:rPr>
          <w:rFonts w:ascii="Calibri" w:hAnsi="Calibri"/>
          <w:b/>
          <w:color w:val="003366"/>
          <w:sz w:val="32"/>
        </w:rPr>
        <w:t>3. Comprehensive SAP SD Test Cases</w:t>
      </w:r>
    </w:p>
    <w:p>
      <w:pPr>
        <w:spacing w:after="120" w:line="276" w:lineRule="auto"/>
      </w:pPr>
      <w:r>
        <w:rPr>
          <w:rFonts w:ascii="Calibri" w:hAnsi="Calibri"/>
          <w:color w:val="323232"/>
          <w:sz w:val="22"/>
        </w:rPr>
        <w:t>Below are detailed, execution-ready test scripts designed to validate each key touchpoint across the Order-to-Cash process.</w:t>
      </w:r>
    </w:p>
    <w:p>
      <w:pPr>
        <w:spacing w:before="240" w:after="80"/>
      </w:pPr>
      <w:r>
        <w:rPr>
          <w:rFonts w:ascii="Calibri" w:hAnsi="Calibri"/>
          <w:b/>
          <w:color w:val="0066CC"/>
          <w:sz w:val="26"/>
        </w:rPr>
        <w:t>TC-O2C-01: Standard Sales Order Creation (OR Type)</w:t>
      </w:r>
    </w:p>
    <w:tbl>
      <w:tblPr>
        <w:tblW w:type="auto" w:w="0"/>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4680"/>
        <w:gridCol w:w="4680"/>
      </w:tblGrid>
      <w:tr>
        <w:tc>
          <w:tcPr>
            <w:tcW w:type="dxa" w:w="2592"/>
            <w:shd w:fill="F4F6F8"/>
            <w:tcMar>
              <w:top w:w="80" w:type="dxa"/>
              <w:bottom w:w="80" w:type="dxa"/>
              <w:left w:w="100" w:type="dxa"/>
              <w:right w:w="100" w:type="dxa"/>
            </w:tcMar>
          </w:tcPr>
          <w:p>
            <w:r>
              <w:rPr>
                <w:b/>
                <w:color w:val="003366"/>
                <w:sz w:val="19"/>
              </w:rPr>
              <w:t>Environment / Prerequisites</w:t>
            </w:r>
          </w:p>
        </w:tc>
        <w:tc>
          <w:tcPr>
            <w:tcW w:type="dxa" w:w="6768"/>
            <w:tcMar>
              <w:top w:w="80" w:type="dxa"/>
              <w:bottom w:w="80" w:type="dxa"/>
              <w:left w:w="100" w:type="dxa"/>
              <w:right w:w="100" w:type="dxa"/>
            </w:tcMar>
          </w:tcPr>
          <w:p>
            <w:r>
              <w:rPr>
                <w:color w:val="323232"/>
                <w:sz w:val="19"/>
              </w:rPr>
              <w:t>Master Data prerequisite: Sold-to Party 100293, Material M-1020 (100 units in stock at Plant 1000). Pricing condition records maintained (PR00).</w:t>
            </w:r>
          </w:p>
        </w:tc>
      </w:tr>
      <w:tr>
        <w:tc>
          <w:tcPr>
            <w:tcW w:type="dxa" w:w="2592"/>
            <w:shd w:fill="F4F6F8"/>
            <w:tcMar>
              <w:top w:w="80" w:type="dxa"/>
              <w:bottom w:w="80" w:type="dxa"/>
              <w:left w:w="100" w:type="dxa"/>
              <w:right w:w="100" w:type="dxa"/>
            </w:tcMar>
          </w:tcPr>
          <w:p>
            <w:r>
              <w:rPr>
                <w:b/>
                <w:color w:val="003366"/>
                <w:sz w:val="19"/>
              </w:rPr>
              <w:t>Step-by-Step Test Execution</w:t>
            </w:r>
          </w:p>
        </w:tc>
        <w:tc>
          <w:tcPr>
            <w:tcW w:type="dxa" w:w="6768"/>
            <w:tcMar>
              <w:top w:w="80" w:type="dxa"/>
              <w:bottom w:w="80" w:type="dxa"/>
              <w:left w:w="100" w:type="dxa"/>
              <w:right w:w="100" w:type="dxa"/>
            </w:tcMar>
          </w:tcPr>
          <w:p>
            <w:r>
              <w:rPr>
                <w:color w:val="323232"/>
                <w:sz w:val="19"/>
              </w:rPr>
              <w:t>1. Execute Transaction VA01.</w:t>
              <w:br/>
              <w:t>2. Enter Order Type 'OR', Sales Org '1000', Distribution Channel '10', Division '00'.</w:t>
              <w:br/>
              <w:t>3. Input Customer PO Number, Sold-To Party, Material Code, and Quantity (10 units).</w:t>
              <w:br/>
              <w:t>4. Perform Item Availability Check (ATP).</w:t>
              <w:br/>
              <w:t>5. Save Document.</w:t>
            </w:r>
          </w:p>
        </w:tc>
      </w:tr>
      <w:tr>
        <w:tc>
          <w:tcPr>
            <w:tcW w:type="dxa" w:w="2592"/>
            <w:shd w:fill="F4F6F8"/>
            <w:tcMar>
              <w:top w:w="80" w:type="dxa"/>
              <w:bottom w:w="80" w:type="dxa"/>
              <w:left w:w="100" w:type="dxa"/>
              <w:right w:w="100" w:type="dxa"/>
            </w:tcMar>
          </w:tcPr>
          <w:p>
            <w:r>
              <w:rPr>
                <w:b/>
                <w:color w:val="003366"/>
                <w:sz w:val="19"/>
              </w:rPr>
              <w:t>Expected Outcome</w:t>
            </w:r>
          </w:p>
        </w:tc>
        <w:tc>
          <w:tcPr>
            <w:tcW w:type="dxa" w:w="6768"/>
            <w:tcMar>
              <w:top w:w="80" w:type="dxa"/>
              <w:bottom w:w="80" w:type="dxa"/>
              <w:left w:w="100" w:type="dxa"/>
              <w:right w:w="100" w:type="dxa"/>
            </w:tcMar>
          </w:tcPr>
          <w:p>
            <w:r>
              <w:rPr>
                <w:color w:val="323232"/>
                <w:sz w:val="19"/>
              </w:rPr>
              <w:t>Sales Order created successfully without errors. Net value and tax calculated accurately according to pricing procedure. Delivery block absent.</w:t>
            </w:r>
          </w:p>
        </w:tc>
      </w:tr>
      <w:tr>
        <w:tc>
          <w:tcPr>
            <w:tcW w:type="dxa" w:w="2592"/>
            <w:shd w:fill="F4F6F8"/>
            <w:tcMar>
              <w:top w:w="80" w:type="dxa"/>
              <w:bottom w:w="80" w:type="dxa"/>
              <w:left w:w="100" w:type="dxa"/>
              <w:right w:w="100" w:type="dxa"/>
            </w:tcMar>
          </w:tcPr>
          <w:p>
            <w:r>
              <w:rPr>
                <w:b/>
                <w:color w:val="003366"/>
                <w:sz w:val="19"/>
              </w:rPr>
              <w:t>Troubleshooting &amp; Fixes</w:t>
            </w:r>
          </w:p>
        </w:tc>
        <w:tc>
          <w:tcPr>
            <w:tcW w:type="dxa" w:w="6768"/>
            <w:tcMar>
              <w:top w:w="80" w:type="dxa"/>
              <w:bottom w:w="80" w:type="dxa"/>
              <w:left w:w="100" w:type="dxa"/>
              <w:right w:w="100" w:type="dxa"/>
            </w:tcMar>
          </w:tcPr>
          <w:p>
            <w:r>
              <w:rPr>
                <w:color w:val="323232"/>
                <w:sz w:val="19"/>
              </w:rPr>
              <w:t>If 'Pricing Error' appears, verify condition record PR00 in VK11. If 'Credit Block' triggers, verify customer exposure in FD32 / UKM_BP.</w:t>
            </w:r>
          </w:p>
        </w:tc>
      </w:tr>
    </w:tbl>
    <w:p>
      <w:pPr>
        <w:spacing w:after="160"/>
      </w:pPr>
    </w:p>
    <w:p>
      <w:pPr>
        <w:spacing w:before="240" w:after="80"/>
      </w:pPr>
      <w:r>
        <w:rPr>
          <w:rFonts w:ascii="Calibri" w:hAnsi="Calibri"/>
          <w:b/>
          <w:color w:val="0066CC"/>
          <w:sz w:val="26"/>
        </w:rPr>
        <w:t>TC-O2C-02: Outbound Delivery Processing &amp; Picking</w:t>
      </w:r>
    </w:p>
    <w:tbl>
      <w:tblPr>
        <w:tblW w:type="auto" w:w="0"/>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4680"/>
        <w:gridCol w:w="4680"/>
      </w:tblGrid>
      <w:tr>
        <w:tc>
          <w:tcPr>
            <w:tcW w:type="dxa" w:w="2592"/>
            <w:shd w:fill="F4F6F8"/>
            <w:tcMar>
              <w:top w:w="80" w:type="dxa"/>
              <w:bottom w:w="80" w:type="dxa"/>
              <w:left w:w="100" w:type="dxa"/>
              <w:right w:w="100" w:type="dxa"/>
            </w:tcMar>
          </w:tcPr>
          <w:p>
            <w:r>
              <w:rPr>
                <w:b/>
                <w:color w:val="003366"/>
                <w:sz w:val="19"/>
              </w:rPr>
              <w:t>Environment / Prerequisites</w:t>
            </w:r>
          </w:p>
        </w:tc>
        <w:tc>
          <w:tcPr>
            <w:tcW w:type="dxa" w:w="6768"/>
            <w:tcMar>
              <w:top w:w="80" w:type="dxa"/>
              <w:bottom w:w="80" w:type="dxa"/>
              <w:left w:w="100" w:type="dxa"/>
              <w:right w:w="100" w:type="dxa"/>
            </w:tcMar>
          </w:tcPr>
          <w:p>
            <w:r>
              <w:rPr>
                <w:color w:val="323232"/>
                <w:sz w:val="19"/>
              </w:rPr>
              <w:t>Prerequisite: Standard Sales Order created and confirmed in TC-O2C-01. Open quantity available for shipping.</w:t>
            </w:r>
          </w:p>
        </w:tc>
      </w:tr>
      <w:tr>
        <w:tc>
          <w:tcPr>
            <w:tcW w:type="dxa" w:w="2592"/>
            <w:shd w:fill="F4F6F8"/>
            <w:tcMar>
              <w:top w:w="80" w:type="dxa"/>
              <w:bottom w:w="80" w:type="dxa"/>
              <w:left w:w="100" w:type="dxa"/>
              <w:right w:w="100" w:type="dxa"/>
            </w:tcMar>
          </w:tcPr>
          <w:p>
            <w:r>
              <w:rPr>
                <w:b/>
                <w:color w:val="003366"/>
                <w:sz w:val="19"/>
              </w:rPr>
              <w:t>Step-by-Step Test Execution</w:t>
            </w:r>
          </w:p>
        </w:tc>
        <w:tc>
          <w:tcPr>
            <w:tcW w:type="dxa" w:w="6768"/>
            <w:tcMar>
              <w:top w:w="80" w:type="dxa"/>
              <w:bottom w:w="80" w:type="dxa"/>
              <w:left w:w="100" w:type="dxa"/>
              <w:right w:w="100" w:type="dxa"/>
            </w:tcMar>
          </w:tcPr>
          <w:p>
            <w:r>
              <w:rPr>
                <w:color w:val="323232"/>
                <w:sz w:val="19"/>
              </w:rPr>
              <w:t>1. Execute Transaction VL01N.</w:t>
              <w:br/>
              <w:t>2. Input Shipping Point '1000' and Selection Date.</w:t>
              <w:br/>
              <w:t>3. Enter Sales Order Number and hit Enter.</w:t>
              <w:br/>
              <w:t>4. Navigate to 'Picking' tab, enter Picked Quantity matching Order Quantity.</w:t>
              <w:br/>
              <w:t>5. Assign Storage Location '0001'.</w:t>
            </w:r>
          </w:p>
        </w:tc>
      </w:tr>
      <w:tr>
        <w:tc>
          <w:tcPr>
            <w:tcW w:type="dxa" w:w="2592"/>
            <w:shd w:fill="F4F6F8"/>
            <w:tcMar>
              <w:top w:w="80" w:type="dxa"/>
              <w:bottom w:w="80" w:type="dxa"/>
              <w:left w:w="100" w:type="dxa"/>
              <w:right w:w="100" w:type="dxa"/>
            </w:tcMar>
          </w:tcPr>
          <w:p>
            <w:r>
              <w:rPr>
                <w:b/>
                <w:color w:val="003366"/>
                <w:sz w:val="19"/>
              </w:rPr>
              <w:t>Expected Outcome</w:t>
            </w:r>
          </w:p>
        </w:tc>
        <w:tc>
          <w:tcPr>
            <w:tcW w:type="dxa" w:w="6768"/>
            <w:tcMar>
              <w:top w:w="80" w:type="dxa"/>
              <w:bottom w:w="80" w:type="dxa"/>
              <w:left w:w="100" w:type="dxa"/>
              <w:right w:w="100" w:type="dxa"/>
            </w:tcMar>
          </w:tcPr>
          <w:p>
            <w:r>
              <w:rPr>
                <w:color w:val="323232"/>
                <w:sz w:val="19"/>
              </w:rPr>
              <w:t>Outbound Delivery document generated. Delivery status changes to 'Fully Picked'. Material status updated in delivery monitor.</w:t>
            </w:r>
          </w:p>
        </w:tc>
      </w:tr>
      <w:tr>
        <w:tc>
          <w:tcPr>
            <w:tcW w:type="dxa" w:w="2592"/>
            <w:shd w:fill="F4F6F8"/>
            <w:tcMar>
              <w:top w:w="80" w:type="dxa"/>
              <w:bottom w:w="80" w:type="dxa"/>
              <w:left w:w="100" w:type="dxa"/>
              <w:right w:w="100" w:type="dxa"/>
            </w:tcMar>
          </w:tcPr>
          <w:p>
            <w:r>
              <w:rPr>
                <w:b/>
                <w:color w:val="003366"/>
                <w:sz w:val="19"/>
              </w:rPr>
              <w:t>Troubleshooting &amp; Fixes</w:t>
            </w:r>
          </w:p>
        </w:tc>
        <w:tc>
          <w:tcPr>
            <w:tcW w:type="dxa" w:w="6768"/>
            <w:tcMar>
              <w:top w:w="80" w:type="dxa"/>
              <w:bottom w:w="80" w:type="dxa"/>
              <w:left w:w="100" w:type="dxa"/>
              <w:right w:w="100" w:type="dxa"/>
            </w:tcMar>
          </w:tcPr>
          <w:p>
            <w:r>
              <w:rPr>
                <w:color w:val="323232"/>
                <w:sz w:val="19"/>
              </w:rPr>
              <w:t>If error 'Material locked' occurs, clear active locks in SM12. If delivery split occurs, check shipping condition and route consistency.</w:t>
            </w:r>
          </w:p>
        </w:tc>
      </w:tr>
    </w:tbl>
    <w:p>
      <w:pPr>
        <w:spacing w:after="160"/>
      </w:pPr>
    </w:p>
    <w:p>
      <w:pPr>
        <w:spacing w:before="240" w:after="80"/>
      </w:pPr>
      <w:r>
        <w:rPr>
          <w:rFonts w:ascii="Calibri" w:hAnsi="Calibri"/>
          <w:b/>
          <w:color w:val="0066CC"/>
          <w:sz w:val="26"/>
        </w:rPr>
        <w:t>TC-O2C-03: Post Goods Issue (PGI) Execution</w:t>
      </w:r>
    </w:p>
    <w:tbl>
      <w:tblPr>
        <w:tblW w:type="auto" w:w="0"/>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4680"/>
        <w:gridCol w:w="4680"/>
      </w:tblGrid>
      <w:tr>
        <w:tc>
          <w:tcPr>
            <w:tcW w:type="dxa" w:w="2592"/>
            <w:shd w:fill="F4F6F8"/>
            <w:tcMar>
              <w:top w:w="80" w:type="dxa"/>
              <w:bottom w:w="80" w:type="dxa"/>
              <w:left w:w="100" w:type="dxa"/>
              <w:right w:w="100" w:type="dxa"/>
            </w:tcMar>
          </w:tcPr>
          <w:p>
            <w:r>
              <w:rPr>
                <w:b/>
                <w:color w:val="003366"/>
                <w:sz w:val="19"/>
              </w:rPr>
              <w:t>Environment / Prerequisites</w:t>
            </w:r>
          </w:p>
        </w:tc>
        <w:tc>
          <w:tcPr>
            <w:tcW w:type="dxa" w:w="6768"/>
            <w:tcMar>
              <w:top w:w="80" w:type="dxa"/>
              <w:bottom w:w="80" w:type="dxa"/>
              <w:left w:w="100" w:type="dxa"/>
              <w:right w:w="100" w:type="dxa"/>
            </w:tcMar>
          </w:tcPr>
          <w:p>
            <w:r>
              <w:rPr>
                <w:color w:val="323232"/>
                <w:sz w:val="19"/>
              </w:rPr>
              <w:t>Prerequisite: Outbound Delivery created and fully picked (TC-O2C-02).</w:t>
            </w:r>
          </w:p>
        </w:tc>
      </w:tr>
      <w:tr>
        <w:tc>
          <w:tcPr>
            <w:tcW w:type="dxa" w:w="2592"/>
            <w:shd w:fill="F4F6F8"/>
            <w:tcMar>
              <w:top w:w="80" w:type="dxa"/>
              <w:bottom w:w="80" w:type="dxa"/>
              <w:left w:w="100" w:type="dxa"/>
              <w:right w:w="100" w:type="dxa"/>
            </w:tcMar>
          </w:tcPr>
          <w:p>
            <w:r>
              <w:rPr>
                <w:b/>
                <w:color w:val="003366"/>
                <w:sz w:val="19"/>
              </w:rPr>
              <w:t>Step-by-Step Test Execution</w:t>
            </w:r>
          </w:p>
        </w:tc>
        <w:tc>
          <w:tcPr>
            <w:tcW w:type="dxa" w:w="6768"/>
            <w:tcMar>
              <w:top w:w="80" w:type="dxa"/>
              <w:bottom w:w="80" w:type="dxa"/>
              <w:left w:w="100" w:type="dxa"/>
              <w:right w:w="100" w:type="dxa"/>
            </w:tcMar>
          </w:tcPr>
          <w:p>
            <w:r>
              <w:rPr>
                <w:color w:val="323232"/>
                <w:sz w:val="19"/>
              </w:rPr>
              <w:t>1. Execute Transaction VL02N with Delivery Document Number.</w:t>
              <w:br/>
              <w:t>2. Verify Picked Quantity equals Delivery Quantity.</w:t>
              <w:br/>
              <w:t>3. Click 'Post Goods Issue' button on toolbar.</w:t>
            </w:r>
          </w:p>
        </w:tc>
      </w:tr>
      <w:tr>
        <w:tc>
          <w:tcPr>
            <w:tcW w:type="dxa" w:w="2592"/>
            <w:shd w:fill="F4F6F8"/>
            <w:tcMar>
              <w:top w:w="80" w:type="dxa"/>
              <w:bottom w:w="80" w:type="dxa"/>
              <w:left w:w="100" w:type="dxa"/>
              <w:right w:w="100" w:type="dxa"/>
            </w:tcMar>
          </w:tcPr>
          <w:p>
            <w:r>
              <w:rPr>
                <w:b/>
                <w:color w:val="003366"/>
                <w:sz w:val="19"/>
              </w:rPr>
              <w:t>Expected Outcome</w:t>
            </w:r>
          </w:p>
        </w:tc>
        <w:tc>
          <w:tcPr>
            <w:tcW w:type="dxa" w:w="6768"/>
            <w:tcMar>
              <w:top w:w="80" w:type="dxa"/>
              <w:bottom w:w="80" w:type="dxa"/>
              <w:left w:w="100" w:type="dxa"/>
              <w:right w:w="100" w:type="dxa"/>
            </w:tcMar>
          </w:tcPr>
          <w:p>
            <w:r>
              <w:rPr>
                <w:color w:val="323232"/>
                <w:sz w:val="19"/>
              </w:rPr>
              <w:t>Material document generated for Goods Movement (Movement Type 601). Physical stock reduced in MMBE. Inventory accounting entry created (COGS debit, Stock credit).</w:t>
            </w:r>
          </w:p>
        </w:tc>
      </w:tr>
      <w:tr>
        <w:tc>
          <w:tcPr>
            <w:tcW w:type="dxa" w:w="2592"/>
            <w:shd w:fill="F4F6F8"/>
            <w:tcMar>
              <w:top w:w="80" w:type="dxa"/>
              <w:bottom w:w="80" w:type="dxa"/>
              <w:left w:w="100" w:type="dxa"/>
              <w:right w:w="100" w:type="dxa"/>
            </w:tcMar>
          </w:tcPr>
          <w:p>
            <w:r>
              <w:rPr>
                <w:b/>
                <w:color w:val="003366"/>
                <w:sz w:val="19"/>
              </w:rPr>
              <w:t>Troubleshooting &amp; Fixes</w:t>
            </w:r>
          </w:p>
        </w:tc>
        <w:tc>
          <w:tcPr>
            <w:tcW w:type="dxa" w:w="6768"/>
            <w:tcMar>
              <w:top w:w="80" w:type="dxa"/>
              <w:bottom w:w="80" w:type="dxa"/>
              <w:left w:w="100" w:type="dxa"/>
              <w:right w:w="100" w:type="dxa"/>
            </w:tcMar>
          </w:tcPr>
          <w:p>
            <w:r>
              <w:rPr>
                <w:color w:val="323232"/>
                <w:sz w:val="19"/>
              </w:rPr>
              <w:t>If error 'Posting period closed' occurs, open accounting period via MMPV/OB52. If stock insufficiency occurs, check serial/batch allocation.</w:t>
            </w:r>
          </w:p>
        </w:tc>
      </w:tr>
    </w:tbl>
    <w:p>
      <w:pPr>
        <w:spacing w:after="160"/>
      </w:pPr>
    </w:p>
    <w:p>
      <w:pPr>
        <w:spacing w:before="240" w:after="80"/>
      </w:pPr>
      <w:r>
        <w:rPr>
          <w:rFonts w:ascii="Calibri" w:hAnsi="Calibri"/>
          <w:b/>
          <w:color w:val="0066CC"/>
          <w:sz w:val="26"/>
        </w:rPr>
        <w:t>TC-O2C-04: Customer Billing / Invoicing</w:t>
      </w:r>
    </w:p>
    <w:tbl>
      <w:tblPr>
        <w:tblW w:type="auto" w:w="0"/>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4680"/>
        <w:gridCol w:w="4680"/>
      </w:tblGrid>
      <w:tr>
        <w:tc>
          <w:tcPr>
            <w:tcW w:type="dxa" w:w="2592"/>
            <w:shd w:fill="F4F6F8"/>
            <w:tcMar>
              <w:top w:w="80" w:type="dxa"/>
              <w:bottom w:w="80" w:type="dxa"/>
              <w:left w:w="100" w:type="dxa"/>
              <w:right w:w="100" w:type="dxa"/>
            </w:tcMar>
          </w:tcPr>
          <w:p>
            <w:r>
              <w:rPr>
                <w:b/>
                <w:color w:val="003366"/>
                <w:sz w:val="19"/>
              </w:rPr>
              <w:t>Environment / Prerequisites</w:t>
            </w:r>
          </w:p>
        </w:tc>
        <w:tc>
          <w:tcPr>
            <w:tcW w:type="dxa" w:w="6768"/>
            <w:tcMar>
              <w:top w:w="80" w:type="dxa"/>
              <w:bottom w:w="80" w:type="dxa"/>
              <w:left w:w="100" w:type="dxa"/>
              <w:right w:w="100" w:type="dxa"/>
            </w:tcMar>
          </w:tcPr>
          <w:p>
            <w:r>
              <w:rPr>
                <w:color w:val="323232"/>
                <w:sz w:val="19"/>
              </w:rPr>
              <w:t>Prerequisite: Goods Issue successfully posted (PGI completed in TC-O2C-03).</w:t>
            </w:r>
          </w:p>
        </w:tc>
      </w:tr>
      <w:tr>
        <w:tc>
          <w:tcPr>
            <w:tcW w:type="dxa" w:w="2592"/>
            <w:shd w:fill="F4F6F8"/>
            <w:tcMar>
              <w:top w:w="80" w:type="dxa"/>
              <w:bottom w:w="80" w:type="dxa"/>
              <w:left w:w="100" w:type="dxa"/>
              <w:right w:w="100" w:type="dxa"/>
            </w:tcMar>
          </w:tcPr>
          <w:p>
            <w:r>
              <w:rPr>
                <w:b/>
                <w:color w:val="003366"/>
                <w:sz w:val="19"/>
              </w:rPr>
              <w:t>Step-by-Step Test Execution</w:t>
            </w:r>
          </w:p>
        </w:tc>
        <w:tc>
          <w:tcPr>
            <w:tcW w:type="dxa" w:w="6768"/>
            <w:tcMar>
              <w:top w:w="80" w:type="dxa"/>
              <w:bottom w:w="80" w:type="dxa"/>
              <w:left w:w="100" w:type="dxa"/>
              <w:right w:w="100" w:type="dxa"/>
            </w:tcMar>
          </w:tcPr>
          <w:p>
            <w:r>
              <w:rPr>
                <w:color w:val="323232"/>
                <w:sz w:val="19"/>
              </w:rPr>
              <w:t>1. Execute Transaction VF01.</w:t>
              <w:br/>
              <w:t>2. Input Outbound Delivery Document Number.</w:t>
              <w:br/>
              <w:t>3. Select Billing Type 'F2' (Invoice) and press Enter.</w:t>
              <w:br/>
              <w:t>4. Review line items, pricing, tax calculations, and revenue account determination.</w:t>
              <w:br/>
              <w:t>5. Click 'Save' to post document.</w:t>
            </w:r>
          </w:p>
        </w:tc>
      </w:tr>
      <w:tr>
        <w:tc>
          <w:tcPr>
            <w:tcW w:type="dxa" w:w="2592"/>
            <w:shd w:fill="F4F6F8"/>
            <w:tcMar>
              <w:top w:w="80" w:type="dxa"/>
              <w:bottom w:w="80" w:type="dxa"/>
              <w:left w:w="100" w:type="dxa"/>
              <w:right w:w="100" w:type="dxa"/>
            </w:tcMar>
          </w:tcPr>
          <w:p>
            <w:r>
              <w:rPr>
                <w:b/>
                <w:color w:val="003366"/>
                <w:sz w:val="19"/>
              </w:rPr>
              <w:t>Expected Outcome</w:t>
            </w:r>
          </w:p>
        </w:tc>
        <w:tc>
          <w:tcPr>
            <w:tcW w:type="dxa" w:w="6768"/>
            <w:tcMar>
              <w:top w:w="80" w:type="dxa"/>
              <w:bottom w:w="80" w:type="dxa"/>
              <w:left w:w="100" w:type="dxa"/>
              <w:right w:w="100" w:type="dxa"/>
            </w:tcMar>
          </w:tcPr>
          <w:p>
            <w:r>
              <w:rPr>
                <w:color w:val="323232"/>
                <w:sz w:val="19"/>
              </w:rPr>
              <w:t>Billing document generated. Accounting document generated simultaneously (Customer account debited, Sales Revenue account credited). Document status shows 'Completed'.</w:t>
            </w:r>
          </w:p>
        </w:tc>
      </w:tr>
      <w:tr>
        <w:tc>
          <w:tcPr>
            <w:tcW w:type="dxa" w:w="2592"/>
            <w:shd w:fill="F4F6F8"/>
            <w:tcMar>
              <w:top w:w="80" w:type="dxa"/>
              <w:bottom w:w="80" w:type="dxa"/>
              <w:left w:w="100" w:type="dxa"/>
              <w:right w:w="100" w:type="dxa"/>
            </w:tcMar>
          </w:tcPr>
          <w:p>
            <w:r>
              <w:rPr>
                <w:b/>
                <w:color w:val="003366"/>
                <w:sz w:val="19"/>
              </w:rPr>
              <w:t>Troubleshooting &amp; Fixes</w:t>
            </w:r>
          </w:p>
        </w:tc>
        <w:tc>
          <w:tcPr>
            <w:tcW w:type="dxa" w:w="6768"/>
            <w:tcMar>
              <w:top w:w="80" w:type="dxa"/>
              <w:bottom w:w="80" w:type="dxa"/>
              <w:left w:w="100" w:type="dxa"/>
              <w:right w:w="100" w:type="dxa"/>
            </w:tcMar>
          </w:tcPr>
          <w:p>
            <w:r>
              <w:rPr>
                <w:color w:val="323232"/>
                <w:sz w:val="19"/>
              </w:rPr>
              <w:t>If accounting document is not generated, execute VF02 and click 'Release to Accounting' flag to inspect missing account determination rules (VKOA).</w:t>
            </w:r>
          </w:p>
        </w:tc>
      </w:tr>
    </w:tbl>
    <w:p>
      <w:pPr>
        <w:spacing w:after="160"/>
      </w:pPr>
    </w:p>
    <w:p>
      <w:pPr>
        <w:spacing w:before="240" w:after="80"/>
      </w:pPr>
      <w:r>
        <w:rPr>
          <w:rFonts w:ascii="Calibri" w:hAnsi="Calibri"/>
          <w:b/>
          <w:color w:val="0066CC"/>
          <w:sz w:val="26"/>
        </w:rPr>
        <w:t>TC-O2C-05: Cash Application &amp; Customer Clearing</w:t>
      </w:r>
    </w:p>
    <w:tbl>
      <w:tblPr>
        <w:tblW w:type="auto" w:w="0"/>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4680"/>
        <w:gridCol w:w="4680"/>
      </w:tblGrid>
      <w:tr>
        <w:tc>
          <w:tcPr>
            <w:tcW w:type="dxa" w:w="2592"/>
            <w:shd w:fill="F4F6F8"/>
            <w:tcMar>
              <w:top w:w="80" w:type="dxa"/>
              <w:bottom w:w="80" w:type="dxa"/>
              <w:left w:w="100" w:type="dxa"/>
              <w:right w:w="100" w:type="dxa"/>
            </w:tcMar>
          </w:tcPr>
          <w:p>
            <w:r>
              <w:rPr>
                <w:b/>
                <w:color w:val="003366"/>
                <w:sz w:val="19"/>
              </w:rPr>
              <w:t>Environment / Prerequisites</w:t>
            </w:r>
          </w:p>
        </w:tc>
        <w:tc>
          <w:tcPr>
            <w:tcW w:type="dxa" w:w="6768"/>
            <w:tcMar>
              <w:top w:w="80" w:type="dxa"/>
              <w:bottom w:w="80" w:type="dxa"/>
              <w:left w:w="100" w:type="dxa"/>
              <w:right w:w="100" w:type="dxa"/>
            </w:tcMar>
          </w:tcPr>
          <w:p>
            <w:r>
              <w:rPr>
                <w:color w:val="323232"/>
                <w:sz w:val="19"/>
              </w:rPr>
              <w:t>Prerequisite: Customer Invoice posted and open item present on customer ledger.</w:t>
            </w:r>
          </w:p>
        </w:tc>
      </w:tr>
      <w:tr>
        <w:tc>
          <w:tcPr>
            <w:tcW w:type="dxa" w:w="2592"/>
            <w:shd w:fill="F4F6F8"/>
            <w:tcMar>
              <w:top w:w="80" w:type="dxa"/>
              <w:bottom w:w="80" w:type="dxa"/>
              <w:left w:w="100" w:type="dxa"/>
              <w:right w:w="100" w:type="dxa"/>
            </w:tcMar>
          </w:tcPr>
          <w:p>
            <w:r>
              <w:rPr>
                <w:b/>
                <w:color w:val="003366"/>
                <w:sz w:val="19"/>
              </w:rPr>
              <w:t>Step-by-Step Test Execution</w:t>
            </w:r>
          </w:p>
        </w:tc>
        <w:tc>
          <w:tcPr>
            <w:tcW w:type="dxa" w:w="6768"/>
            <w:tcMar>
              <w:top w:w="80" w:type="dxa"/>
              <w:bottom w:w="80" w:type="dxa"/>
              <w:left w:w="100" w:type="dxa"/>
              <w:right w:w="100" w:type="dxa"/>
            </w:tcMar>
          </w:tcPr>
          <w:p>
            <w:r>
              <w:rPr>
                <w:color w:val="323232"/>
                <w:sz w:val="19"/>
              </w:rPr>
              <w:t>1. Execute Transaction F-28 (Post Incoming Payments).</w:t>
              <w:br/>
              <w:t>2. Input Document Date, Bank Account, Amount, and Customer Account ID.</w:t>
              <w:br/>
              <w:t>3. Click 'Process Open Items'.</w:t>
              <w:br/>
              <w:t>4. Select the matching invoice number generated in TC-O2C-04.</w:t>
              <w:br/>
              <w:t>5. Verify 'Difference Reason' is 0.00 and Save.</w:t>
            </w:r>
          </w:p>
        </w:tc>
      </w:tr>
      <w:tr>
        <w:tc>
          <w:tcPr>
            <w:tcW w:type="dxa" w:w="2592"/>
            <w:shd w:fill="F4F6F8"/>
            <w:tcMar>
              <w:top w:w="80" w:type="dxa"/>
              <w:bottom w:w="80" w:type="dxa"/>
              <w:left w:w="100" w:type="dxa"/>
              <w:right w:w="100" w:type="dxa"/>
            </w:tcMar>
          </w:tcPr>
          <w:p>
            <w:r>
              <w:rPr>
                <w:b/>
                <w:color w:val="003366"/>
                <w:sz w:val="19"/>
              </w:rPr>
              <w:t>Expected Outcome</w:t>
            </w:r>
          </w:p>
        </w:tc>
        <w:tc>
          <w:tcPr>
            <w:tcW w:type="dxa" w:w="6768"/>
            <w:tcMar>
              <w:top w:w="80" w:type="dxa"/>
              <w:bottom w:w="80" w:type="dxa"/>
              <w:left w:w="100" w:type="dxa"/>
              <w:right w:w="100" w:type="dxa"/>
            </w:tcMar>
          </w:tcPr>
          <w:p>
            <w:r>
              <w:rPr>
                <w:color w:val="323232"/>
                <w:sz w:val="19"/>
              </w:rPr>
              <w:t>Clearing Document generated. Open item status on customer account (FBL5N) changes from Open (Red) to Cleared (Green). Cash account updated.</w:t>
            </w:r>
          </w:p>
        </w:tc>
      </w:tr>
      <w:tr>
        <w:tc>
          <w:tcPr>
            <w:tcW w:type="dxa" w:w="2592"/>
            <w:shd w:fill="F4F6F8"/>
            <w:tcMar>
              <w:top w:w="80" w:type="dxa"/>
              <w:bottom w:w="80" w:type="dxa"/>
              <w:left w:w="100" w:type="dxa"/>
              <w:right w:w="100" w:type="dxa"/>
            </w:tcMar>
          </w:tcPr>
          <w:p>
            <w:r>
              <w:rPr>
                <w:b/>
                <w:color w:val="003366"/>
                <w:sz w:val="19"/>
              </w:rPr>
              <w:t>Troubleshooting &amp; Fixes</w:t>
            </w:r>
          </w:p>
        </w:tc>
        <w:tc>
          <w:tcPr>
            <w:tcW w:type="dxa" w:w="6768"/>
            <w:tcMar>
              <w:top w:w="80" w:type="dxa"/>
              <w:bottom w:w="80" w:type="dxa"/>
              <w:left w:w="100" w:type="dxa"/>
              <w:right w:w="100" w:type="dxa"/>
            </w:tcMar>
          </w:tcPr>
          <w:p>
            <w:r>
              <w:rPr>
                <w:color w:val="323232"/>
                <w:sz w:val="19"/>
              </w:rPr>
              <w:t>If underpayment occurs, assign residual/partial payment key or direct overage to partial clearing account as per cash management guidelines.</w:t>
            </w:r>
          </w:p>
        </w:tc>
      </w:tr>
    </w:tbl>
    <w:p>
      <w:pPr>
        <w:spacing w:after="160"/>
      </w:pPr>
    </w:p>
    <w:p>
      <w:pPr>
        <w:spacing w:before="320" w:after="120"/>
      </w:pPr>
      <w:r>
        <w:rPr>
          <w:rFonts w:ascii="Calibri" w:hAnsi="Calibri"/>
          <w:b/>
          <w:color w:val="003366"/>
          <w:sz w:val="32"/>
        </w:rPr>
        <w:t>4. Evaluation, Risk Analysis &amp; Recommendations</w:t>
      </w:r>
    </w:p>
    <w:p>
      <w:pPr>
        <w:spacing w:before="240" w:after="80"/>
      </w:pPr>
      <w:r>
        <w:rPr>
          <w:rFonts w:ascii="Calibri" w:hAnsi="Calibri"/>
          <w:b/>
          <w:color w:val="0066CC"/>
          <w:sz w:val="26"/>
        </w:rPr>
        <w:t>4.1 Process Efficiency Analysis</w:t>
      </w:r>
    </w:p>
    <w:p>
      <w:pPr>
        <w:pStyle w:val="ListBullet"/>
        <w:spacing w:after="80" w:line="276" w:lineRule="auto"/>
      </w:pPr>
      <w:r>
        <w:rPr>
          <w:rFonts w:ascii="Calibri" w:hAnsi="Calibri"/>
          <w:b/>
          <w:color w:val="323232"/>
          <w:sz w:val="22"/>
        </w:rPr>
        <w:t xml:space="preserve">• </w:t>
      </w:r>
      <w:r>
        <w:rPr>
          <w:rFonts w:ascii="Calibri" w:hAnsi="Calibri"/>
          <w:color w:val="323232"/>
          <w:sz w:val="22"/>
        </w:rPr>
        <w:t>Manual Data Entry Bottlenecks: Hand-entering order details in VA01 introduces order entry errors (incorrect item numbers, wrong customer PO matching) and inflates order lead time by up to 35%.</w:t>
      </w:r>
    </w:p>
    <w:p>
      <w:pPr>
        <w:pStyle w:val="ListBullet"/>
        <w:spacing w:after="80" w:line="276" w:lineRule="auto"/>
      </w:pPr>
      <w:r>
        <w:rPr>
          <w:rFonts w:ascii="Calibri" w:hAnsi="Calibri"/>
          <w:b/>
          <w:color w:val="323232"/>
          <w:sz w:val="22"/>
        </w:rPr>
        <w:t xml:space="preserve">• </w:t>
      </w:r>
      <w:r>
        <w:rPr>
          <w:rFonts w:ascii="Calibri" w:hAnsi="Calibri"/>
          <w:color w:val="323232"/>
          <w:sz w:val="22"/>
        </w:rPr>
        <w:t>Delayed Billing Processing: Batching invoices at the end of the day or week delays revenue recognition and increases Days Sales Outstanding (DSO).</w:t>
      </w:r>
    </w:p>
    <w:p>
      <w:pPr>
        <w:pStyle w:val="ListBullet"/>
        <w:spacing w:after="80" w:line="276" w:lineRule="auto"/>
      </w:pPr>
      <w:r>
        <w:rPr>
          <w:rFonts w:ascii="Calibri" w:hAnsi="Calibri"/>
          <w:b/>
          <w:color w:val="323232"/>
          <w:sz w:val="22"/>
        </w:rPr>
        <w:t xml:space="preserve">• </w:t>
      </w:r>
      <w:r>
        <w:rPr>
          <w:rFonts w:ascii="Calibri" w:hAnsi="Calibri"/>
          <w:color w:val="323232"/>
          <w:sz w:val="22"/>
        </w:rPr>
        <w:t>Credit Management Friction: Manual review of credit-blocked orders via VKM3 creates delays in high-priority order dispatch.</w:t>
      </w:r>
    </w:p>
    <w:p>
      <w:pPr>
        <w:spacing w:before="240" w:after="80"/>
      </w:pPr>
      <w:r>
        <w:rPr>
          <w:rFonts w:ascii="Calibri" w:hAnsi="Calibri"/>
          <w:b/>
          <w:color w:val="0066CC"/>
          <w:sz w:val="26"/>
        </w:rPr>
        <w:t>4.2 Potential Business &amp; Compliance Risks</w:t>
      </w:r>
    </w:p>
    <w:p>
      <w:pPr>
        <w:pStyle w:val="ListBullet"/>
        <w:spacing w:after="80" w:line="276" w:lineRule="auto"/>
      </w:pPr>
      <w:r>
        <w:rPr>
          <w:rFonts w:ascii="Calibri" w:hAnsi="Calibri"/>
          <w:b/>
          <w:color w:val="323232"/>
          <w:sz w:val="22"/>
        </w:rPr>
        <w:t xml:space="preserve">• </w:t>
      </w:r>
      <w:r>
        <w:rPr>
          <w:rFonts w:ascii="Calibri" w:hAnsi="Calibri"/>
          <w:color w:val="323232"/>
          <w:sz w:val="22"/>
        </w:rPr>
        <w:t>Revenue Leakage: Incorrect pricing condition records (PR00 / K007) or unbilled deliveries can cause direct financial loss.</w:t>
      </w:r>
    </w:p>
    <w:p>
      <w:pPr>
        <w:pStyle w:val="ListBullet"/>
        <w:spacing w:after="80" w:line="276" w:lineRule="auto"/>
      </w:pPr>
      <w:r>
        <w:rPr>
          <w:rFonts w:ascii="Calibri" w:hAnsi="Calibri"/>
          <w:b/>
          <w:color w:val="323232"/>
          <w:sz w:val="22"/>
        </w:rPr>
        <w:t xml:space="preserve">• </w:t>
      </w:r>
      <w:r>
        <w:rPr>
          <w:rFonts w:ascii="Calibri" w:hAnsi="Calibri"/>
          <w:color w:val="323232"/>
          <w:sz w:val="22"/>
        </w:rPr>
        <w:t>Inventory Mismatch: Discrepancy between SAP physical inventory levels and warehouse actual stock can trigger failed ATP checks and unfulfilled customer commitments.</w:t>
      </w:r>
    </w:p>
    <w:p>
      <w:pPr>
        <w:pStyle w:val="ListBullet"/>
        <w:spacing w:after="80" w:line="276" w:lineRule="auto"/>
      </w:pPr>
      <w:r>
        <w:rPr>
          <w:rFonts w:ascii="Calibri" w:hAnsi="Calibri"/>
          <w:b/>
          <w:color w:val="323232"/>
          <w:sz w:val="22"/>
        </w:rPr>
        <w:t xml:space="preserve">• </w:t>
      </w:r>
      <w:r>
        <w:rPr>
          <w:rFonts w:ascii="Calibri" w:hAnsi="Calibri"/>
          <w:color w:val="323232"/>
          <w:sz w:val="22"/>
        </w:rPr>
        <w:t>Customer Satisfaction Risks: Delays during warehouse picking or uncoordinated carrier communication degrade delivery performance metrics (OTIF).</w:t>
      </w:r>
    </w:p>
    <w:p>
      <w:pPr>
        <w:spacing w:before="240" w:after="80"/>
      </w:pPr>
      <w:r>
        <w:rPr>
          <w:rFonts w:ascii="Calibri" w:hAnsi="Calibri"/>
          <w:b/>
          <w:color w:val="0066CC"/>
          <w:sz w:val="26"/>
        </w:rPr>
        <w:t>4.3 Improvement &amp; Strategic Recommendations</w:t>
      </w:r>
    </w:p>
    <w:p>
      <w:pPr>
        <w:pStyle w:val="ListBullet"/>
        <w:spacing w:after="80" w:line="276" w:lineRule="auto"/>
      </w:pPr>
      <w:r>
        <w:rPr>
          <w:rFonts w:ascii="Calibri" w:hAnsi="Calibri"/>
          <w:b/>
          <w:color w:val="323232"/>
          <w:sz w:val="22"/>
        </w:rPr>
        <w:t xml:space="preserve">1. </w:t>
      </w:r>
      <w:r>
        <w:rPr>
          <w:rFonts w:ascii="Calibri" w:hAnsi="Calibri"/>
          <w:color w:val="323232"/>
          <w:sz w:val="22"/>
        </w:rPr>
        <w:t>Automated Order Ingestion: Implement Electronic Data Interchange (EDI 850/855) or SAP Sales Order Automation (OCR / AI Engine) to enable automated order creation.</w:t>
      </w:r>
    </w:p>
    <w:p>
      <w:pPr>
        <w:pStyle w:val="ListBullet"/>
        <w:spacing w:after="80" w:line="276" w:lineRule="auto"/>
      </w:pPr>
      <w:r>
        <w:rPr>
          <w:rFonts w:ascii="Calibri" w:hAnsi="Calibri"/>
          <w:b/>
          <w:color w:val="323232"/>
          <w:sz w:val="22"/>
        </w:rPr>
        <w:t xml:space="preserve">2. </w:t>
      </w:r>
      <w:r>
        <w:rPr>
          <w:rFonts w:ascii="Calibri" w:hAnsi="Calibri"/>
          <w:color w:val="323232"/>
          <w:sz w:val="22"/>
        </w:rPr>
        <w:t>Real-Time Billing &amp; Electronic Invoicing: Transition from manual batch billing to background auto-billing jobs (VF04/S4HANA Background Jobs) triggered instantly upon PGI confirmation.</w:t>
      </w:r>
    </w:p>
    <w:p>
      <w:pPr>
        <w:pStyle w:val="ListBullet"/>
        <w:spacing w:after="80" w:line="276" w:lineRule="auto"/>
      </w:pPr>
      <w:r>
        <w:rPr>
          <w:rFonts w:ascii="Calibri" w:hAnsi="Calibri"/>
          <w:b/>
          <w:color w:val="323232"/>
          <w:sz w:val="22"/>
        </w:rPr>
        <w:t xml:space="preserve">3. </w:t>
      </w:r>
      <w:r>
        <w:rPr>
          <w:rFonts w:ascii="Calibri" w:hAnsi="Calibri"/>
          <w:color w:val="323232"/>
          <w:sz w:val="22"/>
        </w:rPr>
        <w:t>Integrated Credit Management (FSCM): Migration to SAP Credit Management (FSCM) in S/4HANA for automated credit limit checks, real-time credit scoring, and automated release workflows.</w:t>
      </w:r>
    </w:p>
    <w:p>
      <w:pPr>
        <w:pStyle w:val="ListBullet"/>
        <w:spacing w:after="80" w:line="276" w:lineRule="auto"/>
      </w:pPr>
      <w:r>
        <w:rPr>
          <w:rFonts w:ascii="Calibri" w:hAnsi="Calibri"/>
          <w:b/>
          <w:color w:val="323232"/>
          <w:sz w:val="22"/>
        </w:rPr>
        <w:t xml:space="preserve">4. </w:t>
      </w:r>
      <w:r>
        <w:rPr>
          <w:rFonts w:ascii="Calibri" w:hAnsi="Calibri"/>
          <w:color w:val="323232"/>
          <w:sz w:val="22"/>
        </w:rPr>
        <w:t>Warehouse &amp; Logistics Integration: Integration of SAP Extended Warehouse Management (EWM) with real-time barcode / RFID scanning to eliminate manual picking confirm steps.</w:t>
      </w:r>
    </w:p>
    <w:p>
      <w:pPr>
        <w:spacing w:before="320" w:after="120"/>
      </w:pPr>
      <w:r>
        <w:rPr>
          <w:rFonts w:ascii="Calibri" w:hAnsi="Calibri"/>
          <w:b/>
          <w:color w:val="003366"/>
          <w:sz w:val="32"/>
        </w:rPr>
        <w:t>5. Conclusion &amp; Internship Synthesis</w:t>
      </w:r>
    </w:p>
    <w:p>
      <w:pPr>
        <w:spacing w:after="120" w:line="276" w:lineRule="auto"/>
      </w:pPr>
      <w:r>
        <w:rPr>
          <w:rFonts w:ascii="Calibri" w:hAnsi="Calibri"/>
          <w:color w:val="323232"/>
          <w:sz w:val="22"/>
        </w:rPr>
        <w:t>Executing this end-to-end Order-to-Cash simulation provides practical insights into the integration between SAP SD, MM, and FI modules. Understanding the dependencies across document flows—from sales order, delivery, PGI, to billing and payment clearing—is essential for any SAP Consultant.</w:t>
      </w:r>
    </w:p>
    <w:p>
      <w:pPr>
        <w:spacing w:after="120" w:line="276" w:lineRule="auto"/>
      </w:pPr>
      <w:r>
        <w:rPr>
          <w:rFonts w:ascii="Calibri" w:hAnsi="Calibri"/>
          <w:color w:val="323232"/>
          <w:sz w:val="22"/>
        </w:rPr>
        <w:t>As a Junior SAP SD Consultant Intern, mastering these setup procedures, troubleshooting steps, and optimization strategies establishes a strong foundation for supporting enterprise SAP implementations, client consultations, and business process re-engineering projects.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