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3405" w14:textId="77777777" w:rsidR="00A46CF1" w:rsidRDefault="000E2781">
      <w:r>
        <w:rPr>
          <w:b/>
          <w:bCs/>
        </w:rPr>
        <w:t xml:space="preserve">To: </w:t>
      </w:r>
      <w:r>
        <w:t>Engineering Management</w:t>
      </w:r>
    </w:p>
    <w:p w14:paraId="011D7784" w14:textId="77777777" w:rsidR="00A46CF1" w:rsidRDefault="000E2781">
      <w:r>
        <w:rPr>
          <w:b/>
          <w:bCs/>
        </w:rPr>
        <w:t xml:space="preserve">From: </w:t>
      </w:r>
      <w:r>
        <w:t>Pump It Real Good (Mark Heien, El Hadj Diallo, Michael Nguyen, Tommy Yue)</w:t>
      </w:r>
    </w:p>
    <w:p w14:paraId="627EB24E" w14:textId="77777777" w:rsidR="00A46CF1" w:rsidRDefault="000E2781">
      <w:r>
        <w:rPr>
          <w:b/>
          <w:bCs/>
        </w:rPr>
        <w:t xml:space="preserve">Re: </w:t>
      </w:r>
      <w:r>
        <w:t>Planning Report – Reverse Osmosis Membrane Characterization for City Water Purification</w:t>
      </w:r>
    </w:p>
    <w:p w14:paraId="318B52C0" w14:textId="77777777" w:rsidR="00A46CF1" w:rsidRDefault="00A46CF1">
      <w:pPr>
        <w:pBdr>
          <w:bottom w:val="single" w:sz="6" w:space="1" w:color="000000"/>
        </w:pBdr>
        <w:spacing w:before="80" w:after="80"/>
      </w:pPr>
    </w:p>
    <w:p w14:paraId="48F24AB8" w14:textId="77777777" w:rsidR="00A46CF1" w:rsidRDefault="000E2781">
      <w:pPr>
        <w:spacing w:before="160" w:after="60"/>
      </w:pPr>
      <w:r>
        <w:rPr>
          <w:b/>
          <w:bCs/>
        </w:rPr>
        <w:t>Introduction</w:t>
      </w:r>
    </w:p>
    <w:p w14:paraId="12294CD0" w14:textId="77777777" w:rsidR="00A46CF1" w:rsidRDefault="000E2781">
      <w:pPr>
        <w:jc w:val="both"/>
      </w:pPr>
      <w:r>
        <w:t>Access to clean drinking water is a critical infrastructure challenge for municipalities sourcing water from diverse supplies.</w:t>
      </w:r>
      <w:r>
        <w:rPr>
          <w:vertAlign w:val="superscript"/>
        </w:rPr>
        <w:t>1</w:t>
      </w:r>
      <w:r>
        <w:t xml:space="preserve"> Reverse osmosis (RO) is a pressure-driven membrane process that removes dissolved salts, organics, and pathogens with rejection rates exceeding 95%.</w:t>
      </w:r>
      <w:r>
        <w:rPr>
          <w:vertAlign w:val="superscript"/>
        </w:rPr>
        <w:t>2</w:t>
      </w:r>
      <w:r>
        <w:t xml:space="preserve"> For Seattle’s supply—drawn from the Cedar River and South Fork Tolt River watersheds—characterizing RO performance under local conditions is essential for evaluating membrane-based treatment as a supplemental purification step.</w:t>
      </w:r>
      <w:r>
        <w:rPr>
          <w:vertAlign w:val="superscript"/>
        </w:rPr>
        <w:t>5</w:t>
      </w:r>
      <w:r>
        <w:t xml:space="preserve"> This report outlines the experimental plan, theoretical framework, and safety protocols for a three-week RO characterization study on the OSM4000 bench-scale unit, quantifying permeate flux, salt rejection, and concentration polarization across a range of pressures and feed salinities to inform recommendations on RO feasibility for Seattle’s water.</w:t>
      </w:r>
    </w:p>
    <w:p w14:paraId="5574847A" w14:textId="77777777" w:rsidR="00A46CF1" w:rsidRDefault="000E2781">
      <w:pPr>
        <w:spacing w:before="160" w:after="60"/>
      </w:pPr>
      <w:r>
        <w:rPr>
          <w:b/>
          <w:bCs/>
        </w:rPr>
        <w:t>Background</w:t>
      </w:r>
    </w:p>
    <w:p w14:paraId="720B3002" w14:textId="77777777" w:rsidR="00A46CF1" w:rsidRDefault="000E2781">
      <w:pPr>
        <w:jc w:val="both"/>
      </w:pPr>
      <w:r>
        <w:t>In RO, transmembrane pressure (ΔP) must exceed the osmotic pressure difference (Δπ) for net solvent transport through the membrane.</w:t>
      </w:r>
      <w:r>
        <w:rPr>
          <w:vertAlign w:val="superscript"/>
        </w:rPr>
        <w:t>2</w:t>
      </w:r>
      <w:r>
        <w:t xml:space="preserve"> Permeate flux is described by </w:t>
      </w:r>
      <w:proofErr w:type="spellStart"/>
      <w:r>
        <w:t>J</w:t>
      </w:r>
      <w:r>
        <w:rPr>
          <w:vertAlign w:val="subscript"/>
        </w:rPr>
        <w:t>w</w:t>
      </w:r>
      <w:proofErr w:type="spellEnd"/>
      <w:r>
        <w:t xml:space="preserve"> = A(ΔP − Δπ), where A is the membrane water permeability coefficient (L/m²·h·bar).</w:t>
      </w:r>
      <w:r>
        <w:rPr>
          <w:vertAlign w:val="superscript"/>
        </w:rPr>
        <w:t>2</w:t>
      </w:r>
      <w:r>
        <w:t xml:space="preserve"> Osmotic pressure for dilute NaCl solutions is estimated via the </w:t>
      </w:r>
      <w:proofErr w:type="spellStart"/>
      <w:r>
        <w:t>van’t</w:t>
      </w:r>
      <w:proofErr w:type="spellEnd"/>
      <w:r>
        <w:t xml:space="preserve"> Hoff equation, Δπ = </w:t>
      </w:r>
      <w:proofErr w:type="spellStart"/>
      <w:r>
        <w:t>iMRT</w:t>
      </w:r>
      <w:proofErr w:type="spellEnd"/>
      <w:r>
        <w:t xml:space="preserve">, where </w:t>
      </w:r>
      <w:proofErr w:type="spellStart"/>
      <w:r>
        <w:t>i</w:t>
      </w:r>
      <w:proofErr w:type="spellEnd"/>
      <w:r>
        <w:t xml:space="preserve"> ≈ 2 for NaCl, M is molarity, R is the gas constant, and T is absolute temperature.</w:t>
      </w:r>
      <w:r>
        <w:rPr>
          <w:vertAlign w:val="superscript"/>
        </w:rPr>
        <w:t>3</w:t>
      </w:r>
      <w:r>
        <w:t xml:space="preserve"> Salt rejection is quantified as R = (1 − C</w:t>
      </w:r>
      <w:r>
        <w:rPr>
          <w:vertAlign w:val="subscript"/>
        </w:rPr>
        <w:t>p</w:t>
      </w:r>
      <w:r>
        <w:t>/C</w:t>
      </w:r>
      <w:r>
        <w:rPr>
          <w:vertAlign w:val="subscript"/>
        </w:rPr>
        <w:t>f</w:t>
      </w:r>
      <w:r>
        <w:t>) × 100, where C</w:t>
      </w:r>
      <w:r>
        <w:rPr>
          <w:vertAlign w:val="subscript"/>
        </w:rPr>
        <w:t>p</w:t>
      </w:r>
      <w:r>
        <w:t xml:space="preserve"> and C</w:t>
      </w:r>
      <w:r>
        <w:rPr>
          <w:vertAlign w:val="subscript"/>
        </w:rPr>
        <w:t>f</w:t>
      </w:r>
      <w:r>
        <w:t xml:space="preserve"> are permeate and feed concentrations determined from conductivity measurements using a calibration curve.</w:t>
      </w:r>
      <w:r>
        <w:rPr>
          <w:vertAlign w:val="superscript"/>
        </w:rPr>
        <w:t>4</w:t>
      </w:r>
    </w:p>
    <w:p w14:paraId="323DA7F3" w14:textId="77777777" w:rsidR="00A46CF1" w:rsidRDefault="000E2781">
      <w:pPr>
        <w:jc w:val="both"/>
      </w:pPr>
      <w:r>
        <w:t>At elevated feed concentrations, concentration polarization becomes significant: rejected solute accumulates at the membrane surface, raising the effective osmotic pressure and reducing flux.</w:t>
      </w:r>
      <w:r>
        <w:rPr>
          <w:vertAlign w:val="superscript"/>
        </w:rPr>
        <w:t>1</w:t>
      </w:r>
      <w:r>
        <w:t xml:space="preserve"> The concentration polarization factor (CPF), defined as the ratio of wall to bulk feed concentration, is governed by hydrodynamic conditions.</w:t>
      </w:r>
      <w:r>
        <w:rPr>
          <w:vertAlign w:val="superscript"/>
        </w:rPr>
        <w:t>2</w:t>
      </w:r>
      <w:r>
        <w:t xml:space="preserve"> Higher cross-flow velocity thins the boundary layer through enhanced shear, mitigating polarization; insufficient cross-flow or excessive recovery drives CPF to unacceptable levels, accelerating fouling and reducing rejection.</w:t>
      </w:r>
      <w:r>
        <w:rPr>
          <w:vertAlign w:val="superscript"/>
        </w:rPr>
        <w:t>1</w:t>
      </w:r>
      <w:r>
        <w:t xml:space="preserve"> The OSM4000 operates at pressures up to 40 bar, and understanding the interplay between pressure, cross-flow rate, and feed salinity is essential for defining safe, efficient operating envelopes.</w:t>
      </w:r>
      <w:r>
        <w:rPr>
          <w:vertAlign w:val="superscript"/>
        </w:rPr>
        <w:t>2</w:t>
      </w:r>
    </w:p>
    <w:p w14:paraId="0260EC6C" w14:textId="77777777" w:rsidR="00A46CF1" w:rsidRDefault="000E2781">
      <w:pPr>
        <w:spacing w:before="160" w:after="60"/>
      </w:pPr>
      <w:r>
        <w:rPr>
          <w:b/>
          <w:bCs/>
        </w:rPr>
        <w:t>Experimental Objectives and Hypothesis</w:t>
      </w:r>
    </w:p>
    <w:p w14:paraId="5B5AA83A" w14:textId="77777777" w:rsidR="00A46CF1" w:rsidRDefault="000E2781">
      <w:pPr>
        <w:jc w:val="both"/>
      </w:pPr>
      <w:r>
        <w:t>The objectives of this study are to: (a) establish a conductivity–concentration calibration for NaCl solutions (0–10,000 mg/L) enabling real-time concentration determination;</w:t>
      </w:r>
      <w:r>
        <w:rPr>
          <w:vertAlign w:val="superscript"/>
        </w:rPr>
        <w:t>4</w:t>
      </w:r>
      <w:r>
        <w:t xml:space="preserve"> (b) determine the osmotic pressure of Seattle tap water by extrapolating the zero-flux intercept from a </w:t>
      </w:r>
      <w:proofErr w:type="spellStart"/>
      <w:r>
        <w:t>J</w:t>
      </w:r>
      <w:r>
        <w:rPr>
          <w:vertAlign w:val="subscript"/>
        </w:rPr>
        <w:t>w</w:t>
      </w:r>
      <w:proofErr w:type="spellEnd"/>
      <w:r>
        <w:t xml:space="preserve"> vs. ΔP plot (expected π &lt; 1 bar given TDS of ~25–40 mg/L);</w:t>
      </w:r>
      <w:r>
        <w:rPr>
          <w:vertAlign w:val="superscript"/>
        </w:rPr>
        <w:t>5</w:t>
      </w:r>
      <w:r>
        <w:t xml:space="preserve"> (c) characterize the membrane permeability coefficient A via linear regression of flux versus net driving pressure; and (d) evaluate concentration polarization and its dependence on cross-flow hydrodynamics by operating with NaCl feed solutions at 5, 7.5, and 10 g/L, quantifying salt rejection (target &gt; 95%) and CPF as functions of feed concentration and retentate flow rate.</w:t>
      </w:r>
    </w:p>
    <w:p w14:paraId="3FF48D5E" w14:textId="77777777" w:rsidR="00A46CF1" w:rsidRDefault="000E2781">
      <w:pPr>
        <w:jc w:val="both"/>
      </w:pPr>
      <w:r>
        <w:t xml:space="preserve">We hypothesize that permeate flux will increase linearly with ΔP above the osmotic pressure threshold, consistent with </w:t>
      </w:r>
      <w:proofErr w:type="spellStart"/>
      <w:r>
        <w:t>J</w:t>
      </w:r>
      <w:r>
        <w:rPr>
          <w:vertAlign w:val="subscript"/>
        </w:rPr>
        <w:t>w</w:t>
      </w:r>
      <w:proofErr w:type="spellEnd"/>
      <w:r>
        <w:t xml:space="preserve"> = A(ΔP − Δπ).</w:t>
      </w:r>
      <w:r>
        <w:rPr>
          <w:vertAlign w:val="superscript"/>
        </w:rPr>
        <w:t>2</w:t>
      </w:r>
      <w:r>
        <w:t xml:space="preserve"> Tap water should yield π &lt; 1 bar and A in the range of 1–5 L/m²·h·bar, consistent with published thin-film composite membranes.</w:t>
      </w:r>
      <w:r>
        <w:rPr>
          <w:vertAlign w:val="superscript"/>
        </w:rPr>
        <w:t>1</w:t>
      </w:r>
      <w:r>
        <w:t xml:space="preserve"> At higher NaCl concentrations, we expect measurable flux decline due to increased osmotic pressure and concentration polarization. Higher retentate flow rates should reduce CPF by enhancing boundary-layer mass </w:t>
      </w:r>
      <w:r>
        <w:lastRenderedPageBreak/>
        <w:t xml:space="preserve">transfer, improving both flux and rejection at a given pressure. Salt rejection should remain above 95% under adequate </w:t>
      </w:r>
      <w:proofErr w:type="gramStart"/>
      <w:r>
        <w:t>cross-flow</w:t>
      </w:r>
      <w:proofErr w:type="gramEnd"/>
      <w:r>
        <w:t xml:space="preserve"> but may decline at 10 g/L if polarization becomes severe.</w:t>
      </w:r>
      <w:r>
        <w:rPr>
          <w:vertAlign w:val="superscript"/>
        </w:rPr>
        <w:t>2</w:t>
      </w:r>
    </w:p>
    <w:p w14:paraId="23E026E4" w14:textId="77777777" w:rsidR="00A46CF1" w:rsidRDefault="000E2781">
      <w:pPr>
        <w:spacing w:before="160" w:after="60"/>
      </w:pPr>
      <w:r>
        <w:rPr>
          <w:b/>
          <w:bCs/>
        </w:rPr>
        <w:t>Proposed Materials and Procedure</w:t>
      </w:r>
    </w:p>
    <w:p w14:paraId="6940C733" w14:textId="77777777" w:rsidR="00A46CF1" w:rsidRDefault="000E2781">
      <w:pPr>
        <w:jc w:val="both"/>
      </w:pPr>
      <w:r>
        <w:t xml:space="preserve">All experiments will use the OSM4000 RO unit: positive displacement pump P1 (max 40 bar), spiral-wound polyamide membrane module, feed tank with cooling coil, and 5 </w:t>
      </w:r>
      <w:proofErr w:type="spellStart"/>
      <w:r>
        <w:t>μm</w:t>
      </w:r>
      <w:proofErr w:type="spellEnd"/>
      <w:r>
        <w:t xml:space="preserve">/10 </w:t>
      </w:r>
      <w:proofErr w:type="spellStart"/>
      <w:r>
        <w:t>μm</w:t>
      </w:r>
      <w:proofErr w:type="spellEnd"/>
      <w:r>
        <w:t xml:space="preserve"> pre-filters. Instrumentation includes pressure gauge PI2 (0–40 bar), retentate flowmeter FI1 (0–600 L/</w:t>
      </w:r>
      <w:proofErr w:type="spellStart"/>
      <w:r>
        <w:t>hr</w:t>
      </w:r>
      <w:proofErr w:type="spellEnd"/>
      <w:r>
        <w:t>), permeate flowmeter FI2 (0–50 L/</w:t>
      </w:r>
      <w:proofErr w:type="spellStart"/>
      <w:r>
        <w:t>hr</w:t>
      </w:r>
      <w:proofErr w:type="spellEnd"/>
      <w:r>
        <w:t>), and a handheld conductivity meter. During Week 1, the team identified and labeled all valves (V1–V17), instruments, and piping against the P&amp;ID and performed a water-only system check to verify operability.</w:t>
      </w:r>
    </w:p>
    <w:p w14:paraId="7526EF94" w14:textId="77777777" w:rsidR="00A46CF1" w:rsidRDefault="000E2781">
      <w:pPr>
        <w:jc w:val="both"/>
      </w:pPr>
      <w:r>
        <w:t>In Week 2 (Tap Water Characterization), the feed tank will be filled with Seattle tap water per SOP steps 1–3 and initial feed conductivity and temperature recorded. Pump P1 will be started per SOP steps 4–12 with the cooling coil activated. Transmembrane pressure will be varied from ~5 to ~35 bar in ≥5 bar increments by adjusting V9 and V17. At each set point, the system will equilibrate 3–5 minutes until FI1, FI2, and PI2 are stable, after which ΔP, retentate flow (FI1), permeate flow (FI2), and feed/permeate/retentate conductivities will be recorded. One intermediate point (~20 bar) will be repeated to assess reproducibility. Shutdown follows SOP steps 14 and 16–62: depressurize, stop pump, then execute the full rinse protocol until tank conductivity returns to baseline.</w:t>
      </w:r>
    </w:p>
    <w:p w14:paraId="71C1EADD" w14:textId="77777777" w:rsidR="00A46CF1" w:rsidRDefault="000E2781">
      <w:pPr>
        <w:jc w:val="both"/>
      </w:pPr>
      <w:r>
        <w:t>In Week 3 (Brackish Water Study), the Week 2 procedure will be repeated with NaCl feed solutions at 5, 7.5, and 10 g/L. Pressure sweeps of 10–35 bar in 5 bar increments will be performed for each concentration, and CPF will be computed from the retentate-to-feed conductivity ratio at each condition. The full SOP cleaning protocol will be executed between concentration changes to prevent cross-contamination.</w:t>
      </w:r>
    </w:p>
    <w:p w14:paraId="375C01EB" w14:textId="36554D16" w:rsidR="00A46CF1" w:rsidRDefault="000E2781">
      <w:pPr>
        <w:jc w:val="both"/>
      </w:pPr>
      <w:r>
        <w:t xml:space="preserve">Key best practices include verifying feed tank level (&gt;15 L) before every startup to prevent </w:t>
      </w:r>
      <w:r w:rsidR="00E3708A">
        <w:t>dry running</w:t>
      </w:r>
      <w:r>
        <w:t xml:space="preserve"> the </w:t>
      </w:r>
      <w:r w:rsidR="00E3708A">
        <w:t>pump and</w:t>
      </w:r>
      <w:r>
        <w:t xml:space="preserve"> always depressurizing slowly via V9 before stopping P1 to avoid water hammer. Potential challenges include temperature drift during extended runs (the pump dissipates 10–20°C/</w:t>
      </w:r>
      <w:proofErr w:type="spellStart"/>
      <w:r>
        <w:t>hr</w:t>
      </w:r>
      <w:proofErr w:type="spellEnd"/>
      <w:r>
        <w:t xml:space="preserve"> into the feed), which shifts osmotic pressure estimates and must be managed with the cooling coil. Achieving stable readings at low pressures near the osmotic threshold may require extended </w:t>
      </w:r>
      <w:r w:rsidR="00E3708A">
        <w:t>equilibration and</w:t>
      </w:r>
      <w:r>
        <w:t xml:space="preserve"> transitioning between NaCl concentrations in Week 3 risks residual contamination if the rinse protocol is not completed thoroughly.</w:t>
      </w:r>
    </w:p>
    <w:p w14:paraId="5FC261EC" w14:textId="77777777" w:rsidR="00A46CF1" w:rsidRDefault="000E2781">
      <w:pPr>
        <w:spacing w:before="160" w:after="60"/>
      </w:pPr>
      <w:r>
        <w:rPr>
          <w:b/>
          <w:bCs/>
        </w:rPr>
        <w:t>Experimental Safety and Hazards</w:t>
      </w:r>
    </w:p>
    <w:p w14:paraId="3F337480" w14:textId="77777777" w:rsidR="00A46CF1" w:rsidRDefault="000E2781">
      <w:pPr>
        <w:jc w:val="both"/>
      </w:pPr>
      <w:r>
        <w:t>Individuals potentially impacted include all four team members, the supervising TA, and other students or personnel present in Benson 035 during high-pressure operation.</w:t>
      </w:r>
    </w:p>
    <w:p w14:paraId="34091D34" w14:textId="77777777" w:rsidR="00A46CF1" w:rsidRDefault="000E2781">
      <w:pPr>
        <w:jc w:val="both"/>
      </w:pPr>
      <w:r>
        <w:t xml:space="preserve">The primary hazard is the high-pressure system (up to 40 </w:t>
      </w:r>
      <w:proofErr w:type="gramStart"/>
      <w:r>
        <w:t>bar</w:t>
      </w:r>
      <w:proofErr w:type="gramEnd"/>
      <w:r>
        <w:t xml:space="preserve">): fitting failure or hose </w:t>
      </w:r>
      <w:proofErr w:type="gramStart"/>
      <w:r>
        <w:t>disconnection</w:t>
      </w:r>
      <w:proofErr w:type="gramEnd"/>
      <w:r>
        <w:t xml:space="preserve"> could cause pressurized fluid release. The relief valve is set at 40 </w:t>
      </w:r>
      <w:proofErr w:type="gramStart"/>
      <w:r>
        <w:t>bar</w:t>
      </w:r>
      <w:proofErr w:type="gramEnd"/>
      <w:r>
        <w:t xml:space="preserve"> and must never be exceeded. The positive displacement pump will sustain damage if run dry, so tank level must be verified before startup and monitored continuously. NaCl solutions used in Week 3 are corrosive to system components; all wetted circuits must be rinsed immediately after salt runs per SOP Sections 16–62. Pump operation raises feed temperature by 10–20°C/</w:t>
      </w:r>
      <w:proofErr w:type="spellStart"/>
      <w:r>
        <w:t>hr</w:t>
      </w:r>
      <w:proofErr w:type="spellEnd"/>
      <w:r>
        <w:t>, posing thermal risk to the membrane and personnel contacting hot surfaces; the cooling coil (V1/V3 open, V4 closed) must be activated during extended runs. Finally, opening V12 too rapidly during backflush can cause water hammer and membrane damage, so V12 must be opened slowly per SOP step 36.</w:t>
      </w:r>
    </w:p>
    <w:p w14:paraId="5CB23166" w14:textId="2D0BA040" w:rsidR="00A46CF1" w:rsidRDefault="000E2781">
      <w:pPr>
        <w:jc w:val="both"/>
      </w:pPr>
      <w:r>
        <w:t xml:space="preserve">Required PPE includes safety glasses, closed-toe shoes, with nitrile gloves when handling NaCl solutions. Spills must be contained immediately with absorbent materials to prevent </w:t>
      </w:r>
      <w:proofErr w:type="gramStart"/>
      <w:r>
        <w:t>slip hazards</w:t>
      </w:r>
      <w:proofErr w:type="gramEnd"/>
      <w:r>
        <w:t>, and NaCl stock must be stored in sealed containers in a dry, designated area. All team members will review the SOP and P&amp;ID before each session and verify emergency shut-off procedures.</w:t>
      </w:r>
    </w:p>
    <w:p w14:paraId="3B1E0A45" w14:textId="77777777" w:rsidR="00A46CF1" w:rsidRDefault="000E2781">
      <w:pPr>
        <w:spacing w:before="160" w:after="60"/>
      </w:pPr>
      <w:r>
        <w:rPr>
          <w:b/>
          <w:bCs/>
        </w:rPr>
        <w:t>References</w:t>
      </w:r>
    </w:p>
    <w:p w14:paraId="117BEA0B" w14:textId="77777777" w:rsidR="002F740D" w:rsidRDefault="000E2781">
      <w:r>
        <w:lastRenderedPageBreak/>
        <w:t xml:space="preserve">[1] M. Mulder, </w:t>
      </w:r>
      <w:r>
        <w:rPr>
          <w:i/>
          <w:iCs/>
        </w:rPr>
        <w:t>Basic Principles of Membrane Technology</w:t>
      </w:r>
      <w:r>
        <w:t xml:space="preserve">, 2nd ed. Dordrecht: Kluwer, 1996. </w:t>
      </w:r>
    </w:p>
    <w:p w14:paraId="5D3BDB41" w14:textId="77777777" w:rsidR="002F740D" w:rsidRDefault="000E2781">
      <w:r>
        <w:t xml:space="preserve">[2] R. W. Baker, </w:t>
      </w:r>
      <w:r>
        <w:rPr>
          <w:i/>
          <w:iCs/>
        </w:rPr>
        <w:t>Membrane Technology and Applications</w:t>
      </w:r>
      <w:r>
        <w:t xml:space="preserve">, 3rd ed. Chichester: Wiley, 2012. </w:t>
      </w:r>
    </w:p>
    <w:p w14:paraId="61756867" w14:textId="77777777" w:rsidR="008E31D6" w:rsidRDefault="000E2781">
      <w:r>
        <w:t xml:space="preserve">[3] P. Atkins and J. de Paula, </w:t>
      </w:r>
      <w:r>
        <w:rPr>
          <w:i/>
          <w:iCs/>
        </w:rPr>
        <w:t>Physical Chemistry</w:t>
      </w:r>
      <w:r>
        <w:t xml:space="preserve">, 10th ed. Oxford: OUP, 2014. </w:t>
      </w:r>
    </w:p>
    <w:p w14:paraId="71EAA57E" w14:textId="77777777" w:rsidR="008E31D6" w:rsidRDefault="000E2781">
      <w:r>
        <w:t xml:space="preserve">[4] ASTM D1125-14, “Electrical Conductivity and Resistivity of Water,” ASTM Int’l, 2014. </w:t>
      </w:r>
    </w:p>
    <w:p w14:paraId="0A7CC858" w14:textId="70330F9B" w:rsidR="00A46CF1" w:rsidRDefault="000E2781">
      <w:r>
        <w:t>[5] Seattle Public Utilities, “Water Quality Report,” 2024.</w:t>
      </w:r>
    </w:p>
    <w:sectPr w:rsidR="00A46CF1">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1E"/>
    <w:multiLevelType w:val="hybridMultilevel"/>
    <w:tmpl w:val="2CFABC84"/>
    <w:lvl w:ilvl="0" w:tplc="C19E5BC0">
      <w:start w:val="1"/>
      <w:numFmt w:val="bullet"/>
      <w:lvlText w:val="●"/>
      <w:lvlJc w:val="left"/>
      <w:pPr>
        <w:ind w:left="720" w:hanging="360"/>
      </w:pPr>
    </w:lvl>
    <w:lvl w:ilvl="1" w:tplc="26DE5A92">
      <w:start w:val="1"/>
      <w:numFmt w:val="bullet"/>
      <w:lvlText w:val="○"/>
      <w:lvlJc w:val="left"/>
      <w:pPr>
        <w:ind w:left="1440" w:hanging="360"/>
      </w:pPr>
    </w:lvl>
    <w:lvl w:ilvl="2" w:tplc="05F4DAD2">
      <w:start w:val="1"/>
      <w:numFmt w:val="bullet"/>
      <w:lvlText w:val="■"/>
      <w:lvlJc w:val="left"/>
      <w:pPr>
        <w:ind w:left="2160" w:hanging="360"/>
      </w:pPr>
    </w:lvl>
    <w:lvl w:ilvl="3" w:tplc="634A75A6">
      <w:start w:val="1"/>
      <w:numFmt w:val="bullet"/>
      <w:lvlText w:val="●"/>
      <w:lvlJc w:val="left"/>
      <w:pPr>
        <w:ind w:left="2880" w:hanging="360"/>
      </w:pPr>
    </w:lvl>
    <w:lvl w:ilvl="4" w:tplc="E6B8C45E">
      <w:start w:val="1"/>
      <w:numFmt w:val="bullet"/>
      <w:lvlText w:val="○"/>
      <w:lvlJc w:val="left"/>
      <w:pPr>
        <w:ind w:left="3600" w:hanging="360"/>
      </w:pPr>
    </w:lvl>
    <w:lvl w:ilvl="5" w:tplc="DDFA796E">
      <w:start w:val="1"/>
      <w:numFmt w:val="bullet"/>
      <w:lvlText w:val="■"/>
      <w:lvlJc w:val="left"/>
      <w:pPr>
        <w:ind w:left="4320" w:hanging="360"/>
      </w:pPr>
    </w:lvl>
    <w:lvl w:ilvl="6" w:tplc="EB3CE194">
      <w:start w:val="1"/>
      <w:numFmt w:val="bullet"/>
      <w:lvlText w:val="●"/>
      <w:lvlJc w:val="left"/>
      <w:pPr>
        <w:ind w:left="5040" w:hanging="360"/>
      </w:pPr>
    </w:lvl>
    <w:lvl w:ilvl="7" w:tplc="853003F0">
      <w:start w:val="1"/>
      <w:numFmt w:val="bullet"/>
      <w:lvlText w:val="●"/>
      <w:lvlJc w:val="left"/>
      <w:pPr>
        <w:ind w:left="5760" w:hanging="360"/>
      </w:pPr>
    </w:lvl>
    <w:lvl w:ilvl="8" w:tplc="63D43138">
      <w:start w:val="1"/>
      <w:numFmt w:val="bullet"/>
      <w:lvlText w:val="●"/>
      <w:lvlJc w:val="left"/>
      <w:pPr>
        <w:ind w:left="6480" w:hanging="360"/>
      </w:pPr>
    </w:lvl>
  </w:abstractNum>
  <w:num w:numId="1" w16cid:durableId="1561551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F1"/>
    <w:rsid w:val="00045244"/>
    <w:rsid w:val="000E2781"/>
    <w:rsid w:val="001E3E35"/>
    <w:rsid w:val="002F740D"/>
    <w:rsid w:val="006C2535"/>
    <w:rsid w:val="008E31D6"/>
    <w:rsid w:val="00A46CF1"/>
    <w:rsid w:val="00CB7225"/>
    <w:rsid w:val="00E3708A"/>
    <w:rsid w:val="00EC7586"/>
    <w:rsid w:val="00F8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3713"/>
  <w15:docId w15:val="{A55961E2-97C1-4F76-828E-ECAB7CE5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1217</Words>
  <Characters>6911</Characters>
  <Application>Microsoft Office Word</Application>
  <DocSecurity>0</DocSecurity>
  <Lines>95</Lines>
  <Paragraphs>26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Heien</cp:lastModifiedBy>
  <cp:revision>7</cp:revision>
  <dcterms:created xsi:type="dcterms:W3CDTF">2026-02-11T00:25:00Z</dcterms:created>
  <dcterms:modified xsi:type="dcterms:W3CDTF">2026-02-19T22:03:00Z</dcterms:modified>
</cp:coreProperties>
</file>