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22EB" w14:textId="742B265F" w:rsidR="00000618" w:rsidRDefault="00000618" w:rsidP="00000618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Scientific and Technological Relevance</w:t>
      </w:r>
    </w:p>
    <w:p w14:paraId="507C80B6" w14:textId="665D00D9" w:rsidR="00F302E5" w:rsidRPr="00F302E5" w:rsidRDefault="00F302E5" w:rsidP="00F3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2E5">
        <w:rPr>
          <w:rFonts w:ascii="Times New Roman" w:eastAsia="Times New Roman" w:hAnsi="Times New Roman" w:cs="Times New Roman"/>
          <w:kern w:val="0"/>
          <w14:ligatures w14:val="none"/>
        </w:rPr>
        <w:t>Pt-catalyzed NO oxidation,</w:t>
      </w:r>
      <w:r w:rsidR="00BF33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NO(g) + ½ O₂(g) </w:t>
      </w:r>
      <w:r w:rsidRPr="00F302E5">
        <w:rPr>
          <w:rFonts w:ascii="Cambria Math" w:eastAsia="Times New Roman" w:hAnsi="Cambria Math" w:cs="Cambria Math"/>
          <w:kern w:val="0"/>
          <w14:ligatures w14:val="none"/>
        </w:rPr>
        <w:t>⇌</w:t>
      </w:r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 NO₂(g),</w:t>
      </w:r>
      <w:r w:rsidR="00BF33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matters both for real engines and as a clean test case for surface kinetics. In lean-burn gasoline and diesel engines (and gas turbines), the exhaust is very O₂-rich, so traditional three-way catalysts can’t reduce NOₓ effectively. Instead, aftertreatment systems like lean NOₓ traps (LNTs) and selective catalytic reduction (SCR) work much better when a significant fraction of the NO is first oxidized to NO₂. In LNTs, for example, NO₂ forms and releases nitrates on the storage material more readily than NO, so the front-end Pt oxidation catalyst basically sets the workable temperature window for the whole brick. At the same time, Pt is expensive and can deactivate under hot, oxidizing conditions, which gives a strong practical motivation to really understand how NO oxidation works on Pt surfaces and how to design catalysts that use less Pt but still hit tough NOₓ regulations. </w:t>
      </w:r>
    </w:p>
    <w:p w14:paraId="0D202354" w14:textId="77777777" w:rsidR="00F302E5" w:rsidRPr="00F302E5" w:rsidRDefault="00F302E5" w:rsidP="00F3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On the science side, the </w:t>
      </w:r>
      <w:proofErr w:type="spellStart"/>
      <w:r w:rsidRPr="00F302E5">
        <w:rPr>
          <w:rFonts w:ascii="Times New Roman" w:eastAsia="Times New Roman" w:hAnsi="Times New Roman" w:cs="Times New Roman"/>
          <w:kern w:val="0"/>
          <w14:ligatures w14:val="none"/>
        </w:rPr>
        <w:t>Getman</w:t>
      </w:r>
      <w:proofErr w:type="spellEnd"/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 and Schneider paper treats this reaction as a benchmark for connecting DFT-level energetics to measured macroscopic rates. They build a coverage-dependent microkinetic model on Pt(111) and show that when the surface is mostly covered with chemisorbed oxygen (about 0.25–0.4 monolayers), the model can reproduce key experimental trends: roughly first-order behavior in NO and O₂, inhibition by NO₂, and an apparent activation energy in the right ballpark. </w:t>
      </w:r>
    </w:p>
    <w:p w14:paraId="274981A2" w14:textId="68CD031D" w:rsidR="00F302E5" w:rsidRPr="00F302E5" w:rsidRDefault="00F302E5" w:rsidP="00F3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2E5">
        <w:rPr>
          <w:rFonts w:ascii="Times New Roman" w:eastAsia="Times New Roman" w:hAnsi="Times New Roman" w:cs="Times New Roman"/>
          <w:kern w:val="0"/>
          <w14:ligatures w14:val="none"/>
        </w:rPr>
        <w:t>The work also makes it clear where simple models break down: low-coverage DFT energetics and mean-field assumptions miss important adsorbate–adsorbate interactions and give the wrong rate orders. That pushes the field toward more realistic, coverage-aware kinetic models and, eventually, tools like kinetic Monte Carlo. Because NO oxidation is relatively simple, directly tied to air-quality-driven NOₓ control, and already well-characterized on Pt in the engine and catalysis literature, it has become a very useful “test bed” both for new theoretical methods and for practical catalyst design. For instance, Epling et al. review how LNT performance depends strongly on this front-end NO → NO₂ step, underscoring the link between the mechanism studied here and real aftertreatment hardware in the field.</w:t>
      </w:r>
    </w:p>
    <w:p w14:paraId="08CB1C83" w14:textId="77777777" w:rsidR="00B1762C" w:rsidRDefault="00F302E5" w:rsidP="00B17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for Part 7</w:t>
      </w:r>
      <w:r w:rsidRPr="00F302E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302E5">
        <w:rPr>
          <w:rFonts w:ascii="Times New Roman" w:eastAsia="Times New Roman" w:hAnsi="Times New Roman" w:cs="Times New Roman"/>
          <w:kern w:val="0"/>
          <w14:ligatures w14:val="none"/>
        </w:rPr>
        <w:t>Getman</w:t>
      </w:r>
      <w:proofErr w:type="spellEnd"/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, R. B.; Schneider, W. F. “DFT-Based Coverage-Dependent Model of Pt-Catalyzed NO Oxidation,” </w:t>
      </w:r>
      <w:proofErr w:type="spellStart"/>
      <w:r w:rsidRPr="00F302E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ChemCatChem</w:t>
      </w:r>
      <w:proofErr w:type="spellEnd"/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2010</w:t>
      </w:r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, 2, 1450–1460. </w:t>
      </w:r>
      <w:r w:rsidRPr="00F302E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E6D266F" w14:textId="6785884F" w:rsidR="00F302E5" w:rsidRPr="00F302E5" w:rsidRDefault="00F302E5" w:rsidP="00B17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Epling, W. S.; Campbell, L. E.; </w:t>
      </w:r>
      <w:proofErr w:type="spellStart"/>
      <w:r w:rsidRPr="00F302E5">
        <w:rPr>
          <w:rFonts w:ascii="Times New Roman" w:eastAsia="Times New Roman" w:hAnsi="Times New Roman" w:cs="Times New Roman"/>
          <w:kern w:val="0"/>
          <w14:ligatures w14:val="none"/>
        </w:rPr>
        <w:t>Yezerets</w:t>
      </w:r>
      <w:proofErr w:type="spellEnd"/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, A.; Currier, N. W.; Parks, J. E. “Overview of the Fundamental Reactions and Degradation Mechanisms of Lean NOx Trap Catalysts,” </w:t>
      </w:r>
      <w:proofErr w:type="spellStart"/>
      <w:r w:rsidRPr="00F302E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Catal</w:t>
      </w:r>
      <w:proofErr w:type="spellEnd"/>
      <w:r w:rsidRPr="00F302E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 Rev.</w:t>
      </w:r>
      <w:r w:rsidRPr="00F302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2004</w:t>
      </w:r>
      <w:r w:rsidRPr="00F302E5">
        <w:rPr>
          <w:rFonts w:ascii="Times New Roman" w:eastAsia="Times New Roman" w:hAnsi="Times New Roman" w:cs="Times New Roman"/>
          <w:kern w:val="0"/>
          <w14:ligatures w14:val="none"/>
        </w:rPr>
        <w:t>, 46, 163–245.</w:t>
      </w:r>
    </w:p>
    <w:p w14:paraId="5F9DEE5A" w14:textId="51E16F6D" w:rsidR="00000618" w:rsidRPr="00E50FB5" w:rsidRDefault="00000618" w:rsidP="00F302E5">
      <w:pPr>
        <w:pStyle w:val="NormalWeb"/>
        <w:spacing w:before="0" w:beforeAutospacing="0"/>
        <w:rPr>
          <w:rFonts w:ascii="Arial" w:hAnsi="Arial" w:cs="Arial"/>
        </w:rPr>
      </w:pPr>
    </w:p>
    <w:sectPr w:rsidR="00000618" w:rsidRPr="00E50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18"/>
    <w:rsid w:val="00000618"/>
    <w:rsid w:val="00894F4B"/>
    <w:rsid w:val="00B1762C"/>
    <w:rsid w:val="00B90BC7"/>
    <w:rsid w:val="00B91E33"/>
    <w:rsid w:val="00BA597E"/>
    <w:rsid w:val="00BF33AE"/>
    <w:rsid w:val="00E50FB5"/>
    <w:rsid w:val="00F3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7692"/>
  <w15:chartTrackingRefBased/>
  <w15:docId w15:val="{6F17D77A-B2E0-45B5-851C-47E78593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6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0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000618"/>
  </w:style>
  <w:style w:type="character" w:styleId="Strong">
    <w:name w:val="Strong"/>
    <w:basedOn w:val="DefaultParagraphFont"/>
    <w:uiPriority w:val="22"/>
    <w:qFormat/>
    <w:rsid w:val="00000618"/>
    <w:rPr>
      <w:b/>
      <w:bCs/>
    </w:rPr>
  </w:style>
  <w:style w:type="character" w:styleId="Emphasis">
    <w:name w:val="Emphasis"/>
    <w:basedOn w:val="DefaultParagraphFont"/>
    <w:uiPriority w:val="20"/>
    <w:qFormat/>
    <w:rsid w:val="000006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360</Words>
  <Characters>2271</Characters>
  <Application>Microsoft Office Word</Application>
  <DocSecurity>0</DocSecurity>
  <Lines>35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Heien</dc:creator>
  <cp:keywords/>
  <dc:description/>
  <cp:lastModifiedBy>Mark Heien</cp:lastModifiedBy>
  <cp:revision>5</cp:revision>
  <dcterms:created xsi:type="dcterms:W3CDTF">2025-11-26T00:23:00Z</dcterms:created>
  <dcterms:modified xsi:type="dcterms:W3CDTF">2025-11-26T00:45:00Z</dcterms:modified>
</cp:coreProperties>
</file>