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8" w:space="6"/>
        </w:pBdr>
        <w:spacing w:after="40" w:before="80"/>
      </w:pPr>
      <w:r>
        <w:rPr>
          <w:rFonts w:ascii="Calibri" w:cs="Calibri" w:eastAsia="Calibri" w:hAnsi="Calibri"/>
          <w:b/>
          <w:bCs/>
          <w:color w:val="000000"/>
          <w:sz w:val="26"/>
          <w:szCs w:val="26"/>
        </w:rPr>
        <w:t xml:space="preserve">Economic Analysis — Tables 3, 4, and 5</w:t>
      </w:r>
    </w:p>
    <w:p>
      <w:pPr>
        <w:spacing w:after="20"/>
      </w:pPr>
      <w:r>
        <w:rPr>
          <w:rFonts w:ascii="Calibri" w:cs="Calibri" w:eastAsia="Calibri" w:hAnsi="Calibri"/>
          <w:b/>
          <w:bCs/>
          <w:color w:val="000000"/>
          <w:sz w:val="20"/>
          <w:szCs w:val="20"/>
        </w:rPr>
        <w:t xml:space="preserve">Project: </w:t>
      </w:r>
      <w:r>
        <w:rPr>
          <w:rFonts w:ascii="Calibri" w:cs="Calibri" w:eastAsia="Calibri" w:hAnsi="Calibri"/>
          <w:color w:val="000000"/>
          <w:sz w:val="20"/>
          <w:szCs w:val="20"/>
        </w:rPr>
        <w:t xml:space="preserve">Seattle Gas Works Retrofit — Apple Pomace to Cellulosic Ethanol  |  ChemE 486, Team Apple, Spring 2026</w:t>
      </w:r>
    </w:p>
    <w:p>
      <w:pPr>
        <w:spacing w:after="20"/>
      </w:pPr>
      <w:r>
        <w:rPr>
          <w:rFonts w:ascii="Calibri" w:cs="Calibri" w:eastAsia="Calibri" w:hAnsi="Calibri"/>
          <w:b/>
          <w:bCs/>
          <w:color w:val="000000"/>
          <w:sz w:val="20"/>
          <w:szCs w:val="20"/>
        </w:rPr>
        <w:t xml:space="preserve">Model: </w:t>
      </w:r>
      <w:r>
        <w:rPr>
          <w:rFonts w:ascii="Calibri" w:cs="Calibri" w:eastAsia="Calibri" w:hAnsi="Calibri"/>
          <w:color w:val="000000"/>
          <w:sz w:val="20"/>
          <w:szCs w:val="20"/>
        </w:rPr>
        <w:t xml:space="preserve">NREL dw1910a.xlsm (Humbird et al., 2011)  |  Cost year: 2024 (CEPCI = 795)  |  MESP = $1.96/gal  |  IRR = 10%</w:t>
      </w:r>
    </w:p>
    <w:p>
      <w:pPr>
        <w:spacing w:after="120"/>
      </w:pPr>
      <w:r>
        <w:rPr>
          <w:rFonts w:ascii="Calibri" w:cs="Calibri" w:eastAsia="Calibri" w:hAnsi="Calibri"/>
          <w:b/>
          <w:bCs/>
          <w:color w:val="000000"/>
          <w:sz w:val="20"/>
          <w:szCs w:val="20"/>
        </w:rPr>
        <w:t xml:space="preserve">Key result: </w:t>
      </w:r>
      <w:r>
        <w:rPr>
          <w:rFonts w:ascii="Calibri" w:cs="Calibri" w:eastAsia="Calibri" w:hAnsi="Calibri"/>
          <w:b w:val="false"/>
          <w:bCs w:val="false"/>
          <w:color w:val="000000"/>
          <w:sz w:val="20"/>
          <w:szCs w:val="20"/>
        </w:rPr>
        <w:t xml:space="preserve">MESP after $50M retrofit credit and land correction = $1.96/gal &lt; market price $1.99/gal (Nebraska DWEE, March 2026). Project is economically viable.</w:t>
      </w:r>
    </w:p>
    <w:p>
      <w:pPr>
        <w:pBdr>
          <w:bottom w:val="single" w:color="000000" w:sz="6" w:space="4"/>
        </w:pBdr>
        <w:spacing w:after="80" w:before="180"/>
      </w:pPr>
      <w:r>
        <w:rPr>
          <w:rFonts w:ascii="Calibri" w:cs="Calibri" w:eastAsia="Calibri" w:hAnsi="Calibri"/>
          <w:b/>
          <w:bCs/>
          <w:color w:val="000000"/>
          <w:sz w:val="24"/>
          <w:szCs w:val="24"/>
        </w:rPr>
        <w:t xml:space="preserve">Table 3.  Operating Cost Analysis (OPEX, 2024$)</w:t>
      </w:r>
    </w:p>
    <w:p>
      <w:pPr>
        <w:spacing w:after="100"/>
      </w:pPr>
      <w:r>
        <w:rPr>
          <w:rFonts w:ascii="Calibri" w:cs="Calibri" w:eastAsia="Calibri" w:hAnsi="Calibri"/>
          <w:color w:val="000000"/>
          <w:sz w:val="20"/>
          <w:szCs w:val="20"/>
        </w:rPr>
        <w:t xml:space="preserve">Table 3 presents the annual operating cost breakdown for the apple pomace biorefinery, sourced from the NREL dw1910a.xlsm OPEX sheet. Variable costs include all raw material purchases, waste disposal, and by-product credits. Fixed costs include labor (60 full-time employees), maintenance, and property insurance and taxes. Corn steep liquor, diammonium phosphate, sorbitol, host nutrients, and sulfur dioxide are zeroed out as they are not required for the apple pomace process.</w:t>
      </w:r>
    </w:p>
    <w:p>
      <w:pPr>
        <w:spacing w:after="100"/>
      </w:pPr>
      <w:r>
        <w:rPr>
          <w:rFonts w:ascii="Calibri" w:cs="Calibri" w:eastAsia="Calibri" w:hAnsi="Calibri"/>
          <w:color w:val="000000"/>
          <w:sz w:val="20"/>
          <w:szCs w:val="20"/>
        </w:rPr>
        <w:t xml:space="preserve">The single largest variable cost is ammonia used in pretreatment neutralization ($6.73M/yr, 11.2¢/gal), followed by caustic soda ($4.81M/yr, 8.0¢/gal). The largest credit is net electricity export from the boiler/turbogenerator system ($6.57M/yr, 11.0¢/gal), which significantly offsets operating costs. The total operating cost of $34.25M/yr ($0.572/gal) is well below the MESP of $1.96/gal — the remaining cost is recovered through capital depreciation and return on investment.</w:t>
      </w:r>
    </w:p>
    <w:p>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400"/>
        <w:gridCol w:w="1600"/>
        <w:gridCol w:w="1400"/>
        <w:gridCol w:w="2400"/>
      </w:tblGrid>
      <w:tr>
        <w:tc>
          <w:tcPr>
            <w:tcW w:type="dxa" w:w="4000"/>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Cost Item and Description</w:t>
            </w:r>
          </w:p>
        </w:tc>
        <w:tc>
          <w:tcPr>
            <w:tcW w:type="dxa" w:w="1400"/>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Flow Rate
(kg/hr)</w:t>
            </w:r>
          </w:p>
        </w:tc>
        <w:tc>
          <w:tcPr>
            <w:tcW w:type="dxa" w:w="1600"/>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Unit Cost
(2024$)</w:t>
            </w:r>
          </w:p>
        </w:tc>
        <w:tc>
          <w:tcPr>
            <w:tcW w:type="dxa" w:w="1400"/>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Annual Cost
(MM$/yr)</w:t>
            </w:r>
          </w:p>
        </w:tc>
        <w:tc>
          <w:tcPr>
            <w:tcW w:type="dxa" w:w="2400"/>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Cents per Gallon
Ethanol</w:t>
            </w:r>
          </w:p>
        </w:tc>
      </w:tr>
      <w:tr>
        <w:tc>
          <w:tcPr>
            <w:tcW w:type="dxa" w:w="10800"/>
            <w:gridSpan w:val="5"/>
            <w:tcBorders>
              <w:top w:val="single" w:color="000000" w:sz="6"/>
              <w:left w:val="single" w:color="000000" w:sz="8"/>
              <w:bottom w:val="single" w:color="000000" w:sz="6"/>
              <w:right w:val="single" w:color="000000" w:sz="8"/>
            </w:tcBorders>
            <w:shd w:fill="F2F2F2" w:val="clear"/>
            <w:tcMar>
              <w:top w:type="dxa" w:w="55"/>
              <w:left w:type="dxa" w:w="90"/>
              <w:bottom w:type="dxa" w:w="55"/>
              <w:right w:type="dxa" w:w="90"/>
            </w:tcMar>
          </w:tcPr>
          <w:p>
            <w:r>
              <w:rPr>
                <w:rFonts w:ascii="Calibri" w:cs="Calibri" w:eastAsia="Calibri" w:hAnsi="Calibri"/>
                <w:b/>
                <w:bCs/>
                <w:color w:val="000000"/>
                <w:sz w:val="18"/>
                <w:szCs w:val="18"/>
              </w:rPr>
              <w:t xml:space="preserve">A.  Variable Operating Costs — Raw Materials</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Feedstock — Apple pomace (wet basis, 78% moisture)</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104,167</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$15.00/dry ton</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$3.19</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5.3¢/gal</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Sulfuric acid, 93% (pretreatment acid)</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1,981</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$138.18/ton</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$2.54</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4.2¢/gal</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Ammonia, anhydrous (pretreatment neutralization)</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1,051</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$690.92/ton</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$6.73</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11.2¢/gal</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Caustic soda, NaOH (wastewater neutralization)</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2,252</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$230.31/ton</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$4.81</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8.0¢/gal</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FGD lime (flue gas desulfurization, boiler)</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895</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$307.08/ton</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$2.55</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4.3¢/gal</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Ammonia (enzyme production, Area 400)</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115</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$690.92/ton</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$0.74</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1.2¢/gal</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Boiler treatment chemicals</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0.25</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$7,691/ton</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$0.02</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0.0¢/gal</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Cooling tower chemicals</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2.2</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$4,609/ton</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$0.09</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0.2¢/gal</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Makeup water</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146,508</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$0.40/ton</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$0.54</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0.9¢/gal</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Corn steep liquor, diammonium phosphate, sorbitol, host nutrients, SO2</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Zeroed — not in apple pomace process</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$0.00</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0.0¢/gal</w:t>
            </w:r>
          </w:p>
        </w:tc>
      </w:tr>
      <w:tr>
        <w:tc>
          <w:tcPr>
            <w:tcW w:type="dxa" w:w="40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Subtotal — Raw Materials</w:t>
            </w:r>
          </w:p>
        </w:tc>
        <w:tc>
          <w:tcPr>
            <w:tcW w:type="dxa" w:w="1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
            </w:r>
          </w:p>
        </w:tc>
        <w:tc>
          <w:tcPr>
            <w:tcW w:type="dxa" w:w="16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
            </w:r>
          </w:p>
        </w:tc>
        <w:tc>
          <w:tcPr>
            <w:tcW w:type="dxa" w:w="1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$21.21</w:t>
            </w:r>
          </w:p>
        </w:tc>
        <w:tc>
          <w:tcPr>
            <w:tcW w:type="dxa" w:w="2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35.4¢/gal</w:t>
            </w:r>
          </w:p>
        </w:tc>
      </w:tr>
      <w:tr>
        <w:tc>
          <w:tcPr>
            <w:tcW w:type="dxa" w:w="10800"/>
            <w:gridSpan w:val="5"/>
            <w:tcBorders>
              <w:top w:val="single" w:color="000000" w:sz="6"/>
              <w:left w:val="single" w:color="000000" w:sz="8"/>
              <w:bottom w:val="single" w:color="000000" w:sz="6"/>
              <w:right w:val="single" w:color="000000" w:sz="8"/>
            </w:tcBorders>
            <w:shd w:fill="F2F2F2" w:val="clear"/>
            <w:tcMar>
              <w:top w:type="dxa" w:w="55"/>
              <w:left w:type="dxa" w:w="90"/>
              <w:bottom w:type="dxa" w:w="55"/>
              <w:right w:type="dxa" w:w="90"/>
            </w:tcMar>
          </w:tcPr>
          <w:p>
            <w:r>
              <w:rPr>
                <w:rFonts w:ascii="Calibri" w:cs="Calibri" w:eastAsia="Calibri" w:hAnsi="Calibri"/>
                <w:b/>
                <w:bCs/>
                <w:color w:val="000000"/>
                <w:sz w:val="18"/>
                <w:szCs w:val="18"/>
              </w:rPr>
              <w:t xml:space="preserve">A.  Variable Operating Costs — Waste Disposal</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Ash disposal (boiler ash from lignin combustion)</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5,726</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$49.0/ton</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$2.60</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4.3¢/gal</w:t>
            </w:r>
          </w:p>
        </w:tc>
      </w:tr>
      <w:tr>
        <w:tc>
          <w:tcPr>
            <w:tcW w:type="dxa" w:w="40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Subtotal — Waste Disposal</w:t>
            </w:r>
          </w:p>
        </w:tc>
        <w:tc>
          <w:tcPr>
            <w:tcW w:type="dxa" w:w="1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
            </w:r>
          </w:p>
        </w:tc>
        <w:tc>
          <w:tcPr>
            <w:tcW w:type="dxa" w:w="16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
            </w:r>
          </w:p>
        </w:tc>
        <w:tc>
          <w:tcPr>
            <w:tcW w:type="dxa" w:w="1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$2.60</w:t>
            </w:r>
          </w:p>
        </w:tc>
        <w:tc>
          <w:tcPr>
            <w:tcW w:type="dxa" w:w="2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4.3¢/gal</w:t>
            </w:r>
          </w:p>
        </w:tc>
      </w:tr>
      <w:tr>
        <w:tc>
          <w:tcPr>
            <w:tcW w:type="dxa" w:w="10800"/>
            <w:gridSpan w:val="5"/>
            <w:tcBorders>
              <w:top w:val="single" w:color="000000" w:sz="6"/>
              <w:left w:val="single" w:color="000000" w:sz="8"/>
              <w:bottom w:val="single" w:color="000000" w:sz="6"/>
              <w:right w:val="single" w:color="000000" w:sz="8"/>
            </w:tcBorders>
            <w:shd w:fill="F2F2F2" w:val="clear"/>
            <w:tcMar>
              <w:top w:type="dxa" w:w="55"/>
              <w:left w:type="dxa" w:w="90"/>
              <w:bottom w:type="dxa" w:w="55"/>
              <w:right w:type="dxa" w:w="90"/>
            </w:tcMar>
          </w:tcPr>
          <w:p>
            <w:r>
              <w:rPr>
                <w:rFonts w:ascii="Calibri" w:cs="Calibri" w:eastAsia="Calibri" w:hAnsi="Calibri"/>
                <w:b/>
                <w:bCs/>
                <w:color w:val="000000"/>
                <w:sz w:val="18"/>
                <w:szCs w:val="18"/>
              </w:rPr>
              <w:t xml:space="preserve">A.  Variable Operating Costs — By-Product Credits</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Grid electricity sold (net export from boiler/turbogenerator)</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12,805 kW</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$0.0572/kWh</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($6.16)</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(10.3¢/gal) credit</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Area 100 electricity credit</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859 kW</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$0.0572/kWh</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($0.41)</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(0.7¢/gal) credit</w:t>
            </w:r>
          </w:p>
        </w:tc>
      </w:tr>
      <w:tr>
        <w:tc>
          <w:tcPr>
            <w:tcW w:type="dxa" w:w="40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Subtotal — By-Product Credits</w:t>
            </w:r>
          </w:p>
        </w:tc>
        <w:tc>
          <w:tcPr>
            <w:tcW w:type="dxa" w:w="1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
            </w:r>
          </w:p>
        </w:tc>
        <w:tc>
          <w:tcPr>
            <w:tcW w:type="dxa" w:w="16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
            </w:r>
          </w:p>
        </w:tc>
        <w:tc>
          <w:tcPr>
            <w:tcW w:type="dxa" w:w="1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($6.57)</w:t>
            </w:r>
          </w:p>
        </w:tc>
        <w:tc>
          <w:tcPr>
            <w:tcW w:type="dxa" w:w="2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(11.0¢/gal) credit</w:t>
            </w:r>
          </w:p>
        </w:tc>
      </w:tr>
      <w:tr>
        <w:tc>
          <w:tcPr>
            <w:tcW w:type="dxa" w:w="40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Total Variable Operating Costs</w:t>
            </w:r>
          </w:p>
        </w:tc>
        <w:tc>
          <w:tcPr>
            <w:tcW w:type="dxa" w:w="1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
            </w:r>
          </w:p>
        </w:tc>
        <w:tc>
          <w:tcPr>
            <w:tcW w:type="dxa" w:w="16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
            </w:r>
          </w:p>
        </w:tc>
        <w:tc>
          <w:tcPr>
            <w:tcW w:type="dxa" w:w="1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$17.23</w:t>
            </w:r>
          </w:p>
        </w:tc>
        <w:tc>
          <w:tcPr>
            <w:tcW w:type="dxa" w:w="2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28.8¢/gal</w:t>
            </w:r>
          </w:p>
        </w:tc>
      </w:tr>
      <w:tr>
        <w:tc>
          <w:tcPr>
            <w:tcW w:type="dxa" w:w="10800"/>
            <w:gridSpan w:val="5"/>
            <w:tcBorders>
              <w:top w:val="single" w:color="000000" w:sz="6"/>
              <w:left w:val="single" w:color="000000" w:sz="8"/>
              <w:bottom w:val="single" w:color="000000" w:sz="6"/>
              <w:right w:val="single" w:color="000000" w:sz="8"/>
            </w:tcBorders>
            <w:shd w:fill="F2F2F2" w:val="clear"/>
            <w:tcMar>
              <w:top w:type="dxa" w:w="55"/>
              <w:left w:type="dxa" w:w="90"/>
              <w:bottom w:type="dxa" w:w="55"/>
              <w:right w:type="dxa" w:w="90"/>
            </w:tcMar>
          </w:tcPr>
          <w:p>
            <w:r>
              <w:rPr>
                <w:rFonts w:ascii="Calibri" w:cs="Calibri" w:eastAsia="Calibri" w:hAnsi="Calibri"/>
                <w:b/>
                <w:bCs/>
                <w:color w:val="000000"/>
                <w:sz w:val="18"/>
                <w:szCs w:val="18"/>
              </w:rPr>
              <w:t xml:space="preserve">B.  Fixed Operating Costs — Labor and Supervision</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Plant Manager</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 position</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$240,414/yr</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Plant Engineers</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 positions</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$114,483/yr each</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Maintenance Supervisor</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 position</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$93,222/yr</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Maintenance Technicians</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12 positions</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$65,419/yr each</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Lab Manager</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 position</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$91,586/yr</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Lab Technicians</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 positions</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$65,419/yr each</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Lab Technicians — Enzyme</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 positions</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$65,419/yr each</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Shift Supervisors</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 positions</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$78,502/yr each</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Shift Operators</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 positions</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$65,419/yr each</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Shift Operators — Enzyme</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8 positions</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$65,419/yr each</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Yard Employees</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 positions</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$45,793/yr each</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Clerks and Secretaries</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 positions</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$58,877/yr each</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
            </w:r>
          </w:p>
        </w:tc>
      </w:tr>
      <w:tr>
        <w:tc>
          <w:tcPr>
            <w:tcW w:type="dxa" w:w="40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Total Salaries (60 positions)</w:t>
            </w:r>
          </w:p>
        </w:tc>
        <w:tc>
          <w:tcPr>
            <w:tcW w:type="dxa" w:w="1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
            </w:r>
          </w:p>
        </w:tc>
        <w:tc>
          <w:tcPr>
            <w:tcW w:type="dxa" w:w="16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
            </w:r>
          </w:p>
        </w:tc>
        <w:tc>
          <w:tcPr>
            <w:tcW w:type="dxa" w:w="1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$4.21</w:t>
            </w:r>
          </w:p>
        </w:tc>
        <w:tc>
          <w:tcPr>
            <w:tcW w:type="dxa" w:w="2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7.0¢/gal</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Labor burden (benefits, payroll taxes)</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90% of salaries</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$3.79</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6.3¢/gal</w:t>
            </w:r>
          </w:p>
        </w:tc>
      </w:tr>
      <w:tr>
        <w:tc>
          <w:tcPr>
            <w:tcW w:type="dxa" w:w="10800"/>
            <w:gridSpan w:val="5"/>
            <w:tcBorders>
              <w:top w:val="single" w:color="000000" w:sz="6"/>
              <w:left w:val="single" w:color="000000" w:sz="8"/>
              <w:bottom w:val="single" w:color="000000" w:sz="6"/>
              <w:right w:val="single" w:color="000000" w:sz="8"/>
            </w:tcBorders>
            <w:shd w:fill="F2F2F2" w:val="clear"/>
            <w:tcMar>
              <w:top w:type="dxa" w:w="55"/>
              <w:left w:type="dxa" w:w="90"/>
              <w:bottom w:type="dxa" w:w="55"/>
              <w:right w:type="dxa" w:w="90"/>
            </w:tcMar>
          </w:tcPr>
          <w:p>
            <w:r>
              <w:rPr>
                <w:rFonts w:ascii="Calibri" w:cs="Calibri" w:eastAsia="Calibri" w:hAnsi="Calibri"/>
                <w:b/>
                <w:bCs/>
                <w:color w:val="000000"/>
                <w:sz w:val="18"/>
                <w:szCs w:val="18"/>
              </w:rPr>
              <w:t xml:space="preserve">B.  Fixed Operating Costs — Other Overhead</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Maintenance (equipment repair, spare parts)</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3.0% of ISBL</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$4.78</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8.0¢/gal</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Property insurance and taxes</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0.7% of FCI</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$4.24</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7.1¢/gal</w:t>
            </w:r>
          </w:p>
        </w:tc>
      </w:tr>
      <w:tr>
        <w:tc>
          <w:tcPr>
            <w:tcW w:type="dxa" w:w="40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Baghouse bags (replaced every 5 years)</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4,320 bags</w:t>
            </w:r>
          </w:p>
        </w:tc>
        <w:tc>
          <w:tcPr>
            <w:tcW w:type="dxa" w:w="16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$80/bag, 1998$</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$0.71</w:t>
            </w:r>
          </w:p>
        </w:tc>
        <w:tc>
          <w:tcPr>
            <w:tcW w:type="dxa" w:w="2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1.2¢/gal — periodic</w:t>
            </w:r>
          </w:p>
        </w:tc>
      </w:tr>
      <w:tr>
        <w:tc>
          <w:tcPr>
            <w:tcW w:type="dxa" w:w="40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Total Fixed Operating Costs</w:t>
            </w:r>
          </w:p>
        </w:tc>
        <w:tc>
          <w:tcPr>
            <w:tcW w:type="dxa" w:w="1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
            </w:r>
          </w:p>
        </w:tc>
        <w:tc>
          <w:tcPr>
            <w:tcW w:type="dxa" w:w="16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
            </w:r>
          </w:p>
        </w:tc>
        <w:tc>
          <w:tcPr>
            <w:tcW w:type="dxa" w:w="1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$17.01</w:t>
            </w:r>
          </w:p>
        </w:tc>
        <w:tc>
          <w:tcPr>
            <w:tcW w:type="dxa" w:w="24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28.4¢/gal</w:t>
            </w:r>
          </w:p>
        </w:tc>
      </w:tr>
      <w:tr>
        <w:tc>
          <w:tcPr>
            <w:tcW w:type="dxa" w:w="7000"/>
            <w:gridSpan w:val="3"/>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Total Annual Operating Costs   (Variable + Fixed)</w:t>
            </w:r>
          </w:p>
        </w:tc>
        <w:tc>
          <w:tcPr>
            <w:tcW w:type="dxa" w:w="1400"/>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$34.25</w:t>
            </w:r>
          </w:p>
        </w:tc>
        <w:tc>
          <w:tcPr>
            <w:tcW w:type="dxa" w:w="2400"/>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57.2¢/gal</w:t>
            </w:r>
          </w:p>
        </w:tc>
      </w:tr>
    </w:tbl>
    <w:p>
      <w:pPr>
        <w:spacing w:after="120" w:before="50"/>
      </w:pPr>
      <w:r>
        <w:rPr>
          <w:rFonts w:ascii="Calibri" w:cs="Calibri" w:eastAsia="Calibri" w:hAnsi="Calibri"/>
          <w:i/>
          <w:iCs/>
          <w:color w:val="444444"/>
          <w:sz w:val="17"/>
          <w:szCs w:val="17"/>
        </w:rPr>
        <w:t xml:space="preserve">Table 3. Annual operating cost analysis in 2024 US dollars. Source: NREL dw1910a.xlsm, OPEX sheet. Raw material costs scaled from quote-year prices using BLS WPU0613 chemical price index (INDICES sheet). Labor costs scaled using BLS Employment Cost Index (INDICES sheet). Corn steep liquor, DAP, sorbitol, host nutrients, and SO2 set to zero for apple pomace process (no nitrogen source addition or SO2 pretreatment needed). By-product credit = net electricity sold to grid from boiler/turbogenerator; apple pomace lignin provides approximately 80% of process steam. Baghouse bags replaced every 5 years: years 1, 6, 11, 16 have slightly higher cost.</w:t>
      </w:r>
    </w:p>
    <w:p>
      <w:r>
        <w:br w:type="page"/>
      </w:r>
    </w:p>
    <w:p>
      <w:pPr>
        <w:pBdr>
          <w:bottom w:val="single" w:color="000000" w:sz="6" w:space="4"/>
        </w:pBdr>
        <w:spacing w:after="80" w:before="180"/>
      </w:pPr>
      <w:r>
        <w:rPr>
          <w:rFonts w:ascii="Calibri" w:cs="Calibri" w:eastAsia="Calibri" w:hAnsi="Calibri"/>
          <w:b/>
          <w:bCs/>
          <w:color w:val="000000"/>
          <w:sz w:val="24"/>
          <w:szCs w:val="24"/>
        </w:rPr>
        <w:t xml:space="preserve">Table 5.  Sensitivity Analysis — Effect on MESP (2024$)</w:t>
      </w:r>
    </w:p>
    <w:p>
      <w:pPr>
        <w:spacing w:after="100"/>
      </w:pPr>
      <w:r>
        <w:rPr>
          <w:rFonts w:ascii="Calibri" w:cs="Calibri" w:eastAsia="Calibri" w:hAnsi="Calibri"/>
          <w:color w:val="000000"/>
          <w:sz w:val="20"/>
          <w:szCs w:val="20"/>
        </w:rPr>
        <w:t xml:space="preserve">Table 5 presents a sensitivity analysis of the Minimum Ethanol Selling Price (MESP) to ten key variables. Each variable is evaluated at a low (pessimistic), base (this study), and high (optimistic) case. MESP at each case was estimated from the NREL model structure; exact values require re-running Goal Seek in DCFROR (set B37=0 by changing B35) for each scenario. Variables are ordered from largest to smallest total MESP swing (high case minus low case).</w:t>
      </w:r>
    </w:p>
    <w:p>
      <w:pPr>
        <w:spacing w:after="100"/>
      </w:pPr>
      <w:r>
        <w:rPr>
          <w:rFonts w:ascii="Calibri" w:cs="Calibri" w:eastAsia="Calibri" w:hAnsi="Calibri"/>
          <w:color w:val="000000"/>
          <w:sz w:val="20"/>
          <w:szCs w:val="20"/>
        </w:rPr>
        <w:t xml:space="preserve">The three most sensitive variables are ethanol yield ($0.85/gal total swing), discount rate ($0.57/gal), and total capital investment ($0.38/gal). Feedstock cost is relatively insensitive ($0.08/gal total swing) because apple pomace is priced at near-waste cost ($15/dry ton) — even tripling the feedstock cost to $30/dry ton raises MESP by only $0.05/gal. This is a key competitive advantage over corn stover biorefineries, where feedstock cost is typically the largest sensitivity variable.</w:t>
      </w:r>
    </w:p>
    <w:p>
      <w:pPr>
        <w:spacing w:after="100"/>
      </w:pPr>
      <w:r>
        <w:rPr>
          <w:rFonts w:ascii="Calibri" w:cs="Calibri" w:eastAsia="Calibri" w:hAnsi="Calibri"/>
          <w:color w:val="000000"/>
          <w:sz w:val="20"/>
          <w:szCs w:val="20"/>
        </w:rPr>
        <w:t xml:space="preserve">The market reference line ($1.99/gal, Nebraska DWEE March 2026) is shown for each scenario. The retrofit credit ($0 vs. $50M) makes the difference between a project that is marginally above market ($2.01/gal without credit) and one that is comfortably below ($1.96/gal with $50M credit). This underscores the economic importance of the documented Gas Works Park infrastructure reuse.</w:t>
      </w:r>
    </w:p>
    <w:p>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500"/>
        <w:gridCol w:w="1500"/>
        <w:gridCol w:w="1500"/>
        <w:gridCol w:w="1500"/>
        <w:gridCol w:w="1400"/>
      </w:tblGrid>
      <w:tr>
        <w:tc>
          <w:tcPr>
            <w:tcW w:type="dxa" w:w="3400"/>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Sensitivity Variable</w:t>
            </w:r>
          </w:p>
        </w:tc>
        <w:tc>
          <w:tcPr>
            <w:tcW w:type="dxa" w:w="1500"/>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Low Case
(pessimistic)</w:t>
            </w:r>
          </w:p>
        </w:tc>
        <w:tc>
          <w:tcPr>
            <w:tcW w:type="dxa" w:w="1500"/>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Base Case
(this study)</w:t>
            </w:r>
          </w:p>
        </w:tc>
        <w:tc>
          <w:tcPr>
            <w:tcW w:type="dxa" w:w="1500"/>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High Case
(optimistic)</w:t>
            </w:r>
          </w:p>
        </w:tc>
        <w:tc>
          <w:tcPr>
            <w:tcW w:type="dxa" w:w="1500"/>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MESP Range
(low → high)</w:t>
            </w:r>
          </w:p>
        </w:tc>
        <w:tc>
          <w:tcPr>
            <w:tcW w:type="dxa" w:w="1400"/>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Excel Reference</w:t>
            </w:r>
          </w:p>
        </w:tc>
      </w:tr>
      <w:tr>
        <w:tc>
          <w:tcPr>
            <w:tcW w:type="dxa" w:w="3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tcPr>
          <w:p>
            <w:r>
              <w:rPr>
                <w:rFonts w:ascii="Calibri" w:cs="Calibri" w:eastAsia="Calibri" w:hAnsi="Calibri"/>
                <w:b/>
                <w:bCs/>
                <w:color w:val="000000"/>
                <w:sz w:val="18"/>
                <w:szCs w:val="18"/>
              </w:rPr>
              <w:t xml:space="preserve">Ethanol yield (gal/dry ton)</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225 gal/ton
(−20%)</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$1.96/gal (base)</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338 gal/ton
(+20%)</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$2.48 – $1.63/gal
(Δ = $0.85)</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ourier New" w:cs="Courier New" w:eastAsia="Courier New" w:hAnsi="Courier New"/>
                <w:b w:val="false"/>
                <w:bCs w:val="false"/>
                <w:color w:val="000000"/>
                <w:sz w:val="17"/>
                <w:szCs w:val="17"/>
              </w:rPr>
              <w:t xml:space="preserve">OPEX B4, Goal Seek B37=0</w:t>
            </w:r>
          </w:p>
        </w:tc>
      </w:tr>
      <w:tr>
        <w:tc>
          <w:tcPr>
            <w:tcW w:type="dxa" w:w="34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tcPr>
          <w:p>
            <w:r>
              <w:rPr>
                <w:rFonts w:ascii="Calibri" w:cs="Calibri" w:eastAsia="Calibri" w:hAnsi="Calibri"/>
                <w:b/>
                <w:bCs/>
                <w:color w:val="000000"/>
                <w:sz w:val="18"/>
                <w:szCs w:val="18"/>
              </w:rPr>
              <w:t xml:space="preserve">Total Capital Investment</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$445M
(−30%)</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$1.96/gal (base)</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$827M
(+30%)</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$1.78 – $2.16/gal
(Δ = $0.38)</w:t>
            </w:r>
          </w:p>
        </w:tc>
        <w:tc>
          <w:tcPr>
            <w:tcW w:type="dxa" w:w="14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left"/>
            </w:pPr>
            <w:r>
              <w:rPr>
                <w:rFonts w:ascii="Courier New" w:cs="Courier New" w:eastAsia="Courier New" w:hAnsi="Courier New"/>
                <w:b w:val="false"/>
                <w:bCs w:val="false"/>
                <w:color w:val="000000"/>
                <w:sz w:val="17"/>
                <w:szCs w:val="17"/>
              </w:rPr>
              <w:t xml:space="preserve">DCFROR K27, Goal Seek B37=0</w:t>
            </w:r>
          </w:p>
        </w:tc>
      </w:tr>
      <w:tr>
        <w:tc>
          <w:tcPr>
            <w:tcW w:type="dxa" w:w="3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tcPr>
          <w:p>
            <w:r>
              <w:rPr>
                <w:rFonts w:ascii="Calibri" w:cs="Calibri" w:eastAsia="Calibri" w:hAnsi="Calibri"/>
                <w:b/>
                <w:bCs/>
                <w:color w:val="000000"/>
                <w:sz w:val="18"/>
                <w:szCs w:val="18"/>
              </w:rPr>
              <w:t xml:space="preserve">Discount rate (IRR)</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8%
(lower)</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$1.96/gal (base)</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15%
(higher)</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$1.80 – $2.37/gal
(Δ = $0.57)</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ourier New" w:cs="Courier New" w:eastAsia="Courier New" w:hAnsi="Courier New"/>
                <w:b w:val="false"/>
                <w:bCs w:val="false"/>
                <w:color w:val="000000"/>
                <w:sz w:val="17"/>
                <w:szCs w:val="17"/>
              </w:rPr>
              <w:t xml:space="preserve">DCFROR B31, Goal Seek B37=0</w:t>
            </w:r>
          </w:p>
        </w:tc>
      </w:tr>
      <w:tr>
        <w:tc>
          <w:tcPr>
            <w:tcW w:type="dxa" w:w="34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tcPr>
          <w:p>
            <w:r>
              <w:rPr>
                <w:rFonts w:ascii="Calibri" w:cs="Calibri" w:eastAsia="Calibri" w:hAnsi="Calibri"/>
                <w:b/>
                <w:bCs/>
                <w:color w:val="000000"/>
                <w:sz w:val="18"/>
                <w:szCs w:val="18"/>
              </w:rPr>
              <w:t xml:space="preserve">Apple pomace feedstock cost</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$5/dry ton
(low market)</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$1.96/gal (base)</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$30/dry ton
(disposal fee)</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$1.93 – $2.01/gal
(Δ = $0.08)</w:t>
            </w:r>
          </w:p>
        </w:tc>
        <w:tc>
          <w:tcPr>
            <w:tcW w:type="dxa" w:w="14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left"/>
            </w:pPr>
            <w:r>
              <w:rPr>
                <w:rFonts w:ascii="Courier New" w:cs="Courier New" w:eastAsia="Courier New" w:hAnsi="Courier New"/>
                <w:b w:val="false"/>
                <w:bCs w:val="false"/>
                <w:color w:val="000000"/>
                <w:sz w:val="17"/>
                <w:szCs w:val="17"/>
              </w:rPr>
              <w:t xml:space="preserve">OPEX I7, Goal Seek B37=0</w:t>
            </w:r>
          </w:p>
        </w:tc>
      </w:tr>
      <w:tr>
        <w:tc>
          <w:tcPr>
            <w:tcW w:type="dxa" w:w="3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tcPr>
          <w:p>
            <w:r>
              <w:rPr>
                <w:rFonts w:ascii="Calibri" w:cs="Calibri" w:eastAsia="Calibri" w:hAnsi="Calibri"/>
                <w:b/>
                <w:bCs/>
                <w:color w:val="000000"/>
                <w:sz w:val="18"/>
                <w:szCs w:val="18"/>
              </w:rPr>
              <w:t xml:space="preserve">Plant life (years)</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15 yrs
(shorter)</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$1.96/gal (base)</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30 yrs
(longer)</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$2.09 – $1.86/gal
(Δ = $0.23)</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ourier New" w:cs="Courier New" w:eastAsia="Courier New" w:hAnsi="Courier New"/>
                <w:b w:val="false"/>
                <w:bCs w:val="false"/>
                <w:color w:val="000000"/>
                <w:sz w:val="17"/>
                <w:szCs w:val="17"/>
              </w:rPr>
              <w:t xml:space="preserve">DCFROR (fixed), Goal Seek B37=0</w:t>
            </w:r>
          </w:p>
        </w:tc>
      </w:tr>
      <w:tr>
        <w:tc>
          <w:tcPr>
            <w:tcW w:type="dxa" w:w="34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tcPr>
          <w:p>
            <w:r>
              <w:rPr>
                <w:rFonts w:ascii="Calibri" w:cs="Calibri" w:eastAsia="Calibri" w:hAnsi="Calibri"/>
                <w:b/>
                <w:bCs/>
                <w:color w:val="000000"/>
                <w:sz w:val="18"/>
                <w:szCs w:val="18"/>
              </w:rPr>
              <w:t xml:space="preserve">Retrofit credit (Gas Works reuse)</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$0 (no credit)
(conservative low)</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$1.96/gal (base)</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$59M
(high, documented)</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$2.01 – $1.94/gal
(Δ = $0.07)</w:t>
            </w:r>
          </w:p>
        </w:tc>
        <w:tc>
          <w:tcPr>
            <w:tcW w:type="dxa" w:w="14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left"/>
            </w:pPr>
            <w:r>
              <w:rPr>
                <w:rFonts w:ascii="Courier New" w:cs="Courier New" w:eastAsia="Courier New" w:hAnsi="Courier New"/>
                <w:b w:val="false"/>
                <w:bCs w:val="false"/>
                <w:color w:val="000000"/>
                <w:sz w:val="17"/>
                <w:szCs w:val="17"/>
              </w:rPr>
              <w:t xml:space="preserve">DCFROR K25 area, Goal Seek B37=0</w:t>
            </w:r>
          </w:p>
        </w:tc>
      </w:tr>
      <w:tr>
        <w:tc>
          <w:tcPr>
            <w:tcW w:type="dxa" w:w="3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tcPr>
          <w:p>
            <w:r>
              <w:rPr>
                <w:rFonts w:ascii="Calibri" w:cs="Calibri" w:eastAsia="Calibri" w:hAnsi="Calibri"/>
                <w:b/>
                <w:bCs/>
                <w:color w:val="000000"/>
                <w:sz w:val="18"/>
                <w:szCs w:val="18"/>
              </w:rPr>
              <w:t xml:space="preserve">Feedstock moisture content</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70%
(drier)</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$1.96/gal (base)</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85%
(wetter)</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$1.92 – $2.03/gal
(Δ = $0.11)</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ourier New" w:cs="Courier New" w:eastAsia="Courier New" w:hAnsi="Courier New"/>
                <w:b w:val="false"/>
                <w:bCs w:val="false"/>
                <w:color w:val="000000"/>
                <w:sz w:val="17"/>
                <w:szCs w:val="17"/>
              </w:rPr>
              <w:t xml:space="preserve">OPEX M7, Goal Seek B37=0</w:t>
            </w:r>
          </w:p>
        </w:tc>
      </w:tr>
      <w:tr>
        <w:tc>
          <w:tcPr>
            <w:tcW w:type="dxa" w:w="34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tcPr>
          <w:p>
            <w:r>
              <w:rPr>
                <w:rFonts w:ascii="Calibri" w:cs="Calibri" w:eastAsia="Calibri" w:hAnsi="Calibri"/>
                <w:b/>
                <w:bCs/>
                <w:color w:val="000000"/>
                <w:sz w:val="18"/>
                <w:szCs w:val="18"/>
              </w:rPr>
              <w:t xml:space="preserve">Enzyme production cost</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$0.03/gal EtOH
(low)</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$1.96/gal (base)</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$0.10/gal
(high)</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$1.94 – $2.01/gal
(Δ = $0.07)</w:t>
            </w:r>
          </w:p>
        </w:tc>
        <w:tc>
          <w:tcPr>
            <w:tcW w:type="dxa" w:w="14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left"/>
            </w:pPr>
            <w:r>
              <w:rPr>
                <w:rFonts w:ascii="Courier New" w:cs="Courier New" w:eastAsia="Courier New" w:hAnsi="Courier New"/>
                <w:b w:val="false"/>
                <w:bCs w:val="false"/>
                <w:color w:val="000000"/>
                <w:sz w:val="17"/>
                <w:szCs w:val="17"/>
              </w:rPr>
              <w:t xml:space="preserve">OPEX row 18, Goal Seek B37=0</w:t>
            </w:r>
          </w:p>
        </w:tc>
      </w:tr>
      <w:tr>
        <w:tc>
          <w:tcPr>
            <w:tcW w:type="dxa" w:w="3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tcPr>
          <w:p>
            <w:r>
              <w:rPr>
                <w:rFonts w:ascii="Calibri" w:cs="Calibri" w:eastAsia="Calibri" w:hAnsi="Calibri"/>
                <w:b/>
                <w:bCs/>
                <w:color w:val="000000"/>
                <w:sz w:val="18"/>
                <w:szCs w:val="18"/>
              </w:rPr>
              <w:t xml:space="preserve">Wastewater treatment cost</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−30% OPEX
(smaller load)</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$1.96/gal (base)</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+30% OPEX
(larger load)</w:t>
            </w:r>
          </w:p>
        </w:tc>
        <w:tc>
          <w:tcPr>
            <w:tcW w:type="dxa" w:w="15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$1.93 – $1.99/gal
(Δ = $0.06)</w:t>
            </w:r>
          </w:p>
        </w:tc>
        <w:tc>
          <w:tcPr>
            <w:tcW w:type="dxa" w:w="14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ourier New" w:cs="Courier New" w:eastAsia="Courier New" w:hAnsi="Courier New"/>
                <w:b w:val="false"/>
                <w:bCs w:val="false"/>
                <w:color w:val="000000"/>
                <w:sz w:val="17"/>
                <w:szCs w:val="17"/>
              </w:rPr>
              <w:t xml:space="preserve">OPEX A600 rows, Goal Seek B37=0</w:t>
            </w:r>
          </w:p>
        </w:tc>
      </w:tr>
      <w:tr>
        <w:tc>
          <w:tcPr>
            <w:tcW w:type="dxa" w:w="34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tcPr>
          <w:p>
            <w:r>
              <w:rPr>
                <w:rFonts w:ascii="Calibri" w:cs="Calibri" w:eastAsia="Calibri" w:hAnsi="Calibri"/>
                <w:b/>
                <w:bCs/>
                <w:color w:val="000000"/>
                <w:sz w:val="18"/>
                <w:szCs w:val="18"/>
              </w:rPr>
              <w:t xml:space="preserve">Ethanol market price
(for IRR context)</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$1.75/gal
(low market)</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$1.96/gal (base)</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$2.50/gal
(high market)</w:t>
            </w:r>
          </w:p>
        </w:tc>
        <w:tc>
          <w:tcPr>
            <w:tcW w:type="dxa" w:w="15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 – $?/gal
(Δ = $—)</w:t>
            </w:r>
          </w:p>
        </w:tc>
        <w:tc>
          <w:tcPr>
            <w:tcW w:type="dxa" w:w="1400"/>
            <w:tcBorders>
              <w:top w:val="single" w:color="999999" w:sz="4"/>
              <w:left w:val="single" w:color="999999" w:sz="4"/>
              <w:bottom w:val="single" w:color="999999" w:sz="4"/>
              <w:right w:val="single" w:color="999999" w:sz="4"/>
            </w:tcBorders>
            <w:shd w:fill="F2F2F2" w:val="clear"/>
            <w:tcMar>
              <w:top w:type="dxa" w:w="55"/>
              <w:left w:type="dxa" w:w="90"/>
              <w:bottom w:type="dxa" w:w="55"/>
              <w:right w:type="dxa" w:w="90"/>
            </w:tcMar>
            <w:vAlign w:val="center"/>
          </w:tcPr>
          <w:p>
            <w:pPr>
              <w:jc w:val="left"/>
            </w:pPr>
            <w:r>
              <w:rPr>
                <w:rFonts w:ascii="Courier New" w:cs="Courier New" w:eastAsia="Courier New" w:hAnsi="Courier New"/>
                <w:b w:val="false"/>
                <w:bCs w:val="false"/>
                <w:color w:val="000000"/>
                <w:sz w:val="17"/>
                <w:szCs w:val="17"/>
              </w:rPr>
              <w:t xml:space="preserve">Market reference only; does not affect MESP</w:t>
            </w:r>
          </w:p>
        </w:tc>
      </w:tr>
      <w:tr>
        <w:tc>
          <w:tcPr>
            <w:tcW w:type="dxa" w:w="10800"/>
            <w:gridSpan w:val="6"/>
            <w:tcBorders>
              <w:top w:val="single" w:color="000000" w:sz="6"/>
              <w:left w:val="single" w:color="000000" w:sz="8"/>
              <w:bottom w:val="single" w:color="000000" w:sz="8"/>
              <w:right w:val="single" w:color="000000" w:sz="8"/>
            </w:tcBorders>
            <w:shd w:fill="D9D9D9" w:val="clear"/>
            <w:tcMar>
              <w:top w:type="dxa" w:w="55"/>
              <w:left w:type="dxa" w:w="90"/>
              <w:bottom w:type="dxa" w:w="55"/>
              <w:right w:type="dxa" w:w="90"/>
            </w:tcMar>
          </w:tcPr>
          <w:p>
            <w:r>
              <w:rPr>
                <w:rFonts w:ascii="Calibri" w:cs="Calibri" w:eastAsia="Calibri" w:hAnsi="Calibri"/>
                <w:b/>
                <w:bCs/>
                <w:color w:val="000000"/>
                <w:sz w:val="18"/>
                <w:szCs w:val="18"/>
              </w:rPr>
              <w:t xml:space="preserve">Market reference: </w:t>
            </w:r>
            <w:r>
              <w:rPr>
                <w:rFonts w:ascii="Calibri" w:cs="Calibri" w:eastAsia="Calibri" w:hAnsi="Calibri"/>
                <w:color w:val="000000"/>
                <w:sz w:val="18"/>
                <w:szCs w:val="18"/>
              </w:rPr>
              <w:t xml:space="preserve">Nebraska DWEE ethanol rack price = $1.99/gal (March 2026, cited in Report 1). MESP at base case = $1.96/gal — project is viable. The three variables with largest impact are ethanol yield (±$0.43/gal), total capital investment (±$0.19/gal), and discount rate (±$0.41/gal). Feedstock cost has limited impact because apple pomace is priced at $15/dry ton (near-waste pricing). Even in the low-yield, high-capital pessimistic scenario, MESP of $2.48/gal is within range of policy-supported scenarios.</w:t>
            </w:r>
          </w:p>
        </w:tc>
      </w:tr>
    </w:tbl>
    <w:p>
      <w:pPr>
        <w:spacing w:after="120" w:before="50"/>
      </w:pPr>
      <w:r>
        <w:rPr>
          <w:rFonts w:ascii="Calibri" w:cs="Calibri" w:eastAsia="Calibri" w:hAnsi="Calibri"/>
          <w:i/>
          <w:iCs/>
          <w:color w:val="444444"/>
          <w:sz w:val="17"/>
          <w:szCs w:val="17"/>
        </w:rPr>
        <w:t xml:space="preserve">Table 5. Sensitivity analysis of MESP to ten key variables. Base case MESP = $1.964/gal from NREL dw1910a.xlsm Goal Seek (DCFROR B35, NPV=0 at 10% IRR). MESP estimates at low and high cases computed from model proportionality relationships; exact values require individual Goal Seek runs. Market reference: Nebraska DWEE ethanol rack price, March 2026 = $1.99/gal (cited in Team Apple Report 1). Variables ranked by total MESP swing (|high MESP − low MESP|). A tornado plot of these variables is recommended for the final report figure.</w:t>
      </w:r>
    </w:p>
    <w:p>
      <w:pPr>
        <w:sectPr>
          <w:headerReference w:type="default" r:id="rId7"/>
          <w:footerReference w:type="default" r:id="rId8"/>
          <w:pgSz w:w="12240" w:h="15840" w:orient="portrait"/>
          <w:pgMar w:top="720" w:right="720" w:bottom="800" w:left="720" w:header="708" w:footer="708" w:gutter="0"/>
          <w:pgNumType/>
          <w:docGrid w:linePitch="360"/>
        </w:sectPr>
      </w:pPr>
    </w:p>
    <w:p>
      <w:pPr>
        <w:pBdr>
          <w:bottom w:val="single" w:color="000000" w:sz="6" w:space="4"/>
        </w:pBdr>
        <w:spacing w:after="80" w:before="180"/>
      </w:pPr>
      <w:r>
        <w:rPr>
          <w:rFonts w:ascii="Calibri" w:cs="Calibri" w:eastAsia="Calibri" w:hAnsi="Calibri"/>
          <w:b/>
          <w:bCs/>
          <w:color w:val="000000"/>
          <w:sz w:val="24"/>
          <w:szCs w:val="24"/>
        </w:rPr>
        <w:t xml:space="preserve">Table 4.  20-Year Discounted Cash Flow Analysis (2024$, MM$)</w:t>
      </w:r>
    </w:p>
    <w:p>
      <w:pPr>
        <w:spacing w:after="100"/>
      </w:pPr>
      <w:r>
        <w:rPr>
          <w:rFonts w:ascii="Calibri" w:cs="Calibri" w:eastAsia="Calibri" w:hAnsi="Calibri"/>
          <w:color w:val="000000"/>
          <w:sz w:val="20"/>
          <w:szCs w:val="20"/>
        </w:rPr>
        <w:t xml:space="preserve">Table 4 presents the complete 20-year discounted cash flow (DCFROR) for the apple pomace biorefinery. Construction occurs in years −1 and 0 (60% and 40% of FCI respectively). Operations begin in Year 1 at 75% capacity (startup year). Full capacity is reached in Year 2. The 10-year equipment loan is fully retired by Year 10, which causes a sharp one-year dip in cash income in Year 10 as full income tax payments begin simultaneously with loan payoff; positive cash flow resumes strongly in Year 11. MESP = $1.964/gal converges NPV to $2.13M ≈ $0 (Goal Seek target) at 10% IRR over the 20-year life.</w:t>
      </w:r>
    </w:p>
    <w:p>
      <w:r>
        <w:t xml:space="preserve"/>
      </w:r>
    </w:p>
    <w:tbl>
      <w:tblPr>
        <w:tblW w:type="dxa" w:w="13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95"/>
        <w:gridCol w:w="495"/>
        <w:gridCol w:w="495"/>
        <w:gridCol w:w="495"/>
        <w:gridCol w:w="495"/>
        <w:gridCol w:w="495"/>
        <w:gridCol w:w="495"/>
        <w:gridCol w:w="495"/>
        <w:gridCol w:w="495"/>
        <w:gridCol w:w="495"/>
        <w:gridCol w:w="495"/>
        <w:gridCol w:w="495"/>
        <w:gridCol w:w="495"/>
        <w:gridCol w:w="495"/>
        <w:gridCol w:w="495"/>
        <w:gridCol w:w="495"/>
        <w:gridCol w:w="495"/>
        <w:gridCol w:w="495"/>
        <w:gridCol w:w="495"/>
        <w:gridCol w:w="495"/>
        <w:gridCol w:w="495"/>
        <w:gridCol w:w="495"/>
        <w:gridCol w:w="495"/>
      </w:tblGrid>
      <w:tr>
        <w:tc>
          <w:tcPr>
            <w:tcW w:type="dxa" w:w="2200"/>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Item (MM$, 2024$)</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-2</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-1</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0</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1</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2</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3</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4</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5</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6</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7</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8</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9</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10</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11</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12</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13</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14</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15</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16</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17</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18</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19</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r>
              <w:rPr>
                <w:rFonts w:ascii="Calibri" w:cs="Calibri" w:eastAsia="Calibri" w:hAnsi="Calibri"/>
                <w:b/>
                <w:bCs/>
                <w:color w:val="000000"/>
                <w:sz w:val="18"/>
                <w:szCs w:val="18"/>
              </w:rPr>
              <w:t xml:space="preserve">20</w:t>
            </w:r>
          </w:p>
        </w:tc>
      </w:tr>
      <w:tr>
        <w:tc>
          <w:tcPr>
            <w:tcW w:type="dxa" w:w="22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Capital Investment</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145.50</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97.00</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r>
      <w:tr>
        <w:tc>
          <w:tcPr>
            <w:tcW w:type="dxa" w:w="22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   Fixed Capital Investment (FCI)</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145.50</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97.00</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r>
      <w:tr>
        <w:tc>
          <w:tcPr>
            <w:tcW w:type="dxa" w:w="22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   Working Capital</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30.31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r>
      <w:tr>
        <w:tc>
          <w:tcPr>
            <w:tcW w:type="dxa" w:w="22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Loan Payment</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54.21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54.21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54.21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54.21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54.21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54.21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54.21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54.21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54.21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54.21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r>
      <w:tr>
        <w:tc>
          <w:tcPr>
            <w:tcW w:type="dxa" w:w="22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Total Annual Sales</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108.68</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124.21</w:t>
            </w:r>
          </w:p>
        </w:tc>
      </w:tr>
      <w:tr>
        <w:tc>
          <w:tcPr>
            <w:tcW w:type="dxa" w:w="22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   Ethanol Sales</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102.93</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117.64</w:t>
            </w:r>
          </w:p>
        </w:tc>
      </w:tr>
      <w:tr>
        <w:tc>
          <w:tcPr>
            <w:tcW w:type="dxa" w:w="22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   By-Product Credit (electricity)</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6.57</w:t>
            </w:r>
          </w:p>
        </w:tc>
      </w:tr>
      <w:tr>
        <w:tc>
          <w:tcPr>
            <w:tcW w:type="dxa" w:w="22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Annual Manufacturing Cost</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39.84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40.82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40.82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40.82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40.82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41.52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40.82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40.82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40.82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40.82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41.52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40.82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40.82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40.82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40.82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40.82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41.52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40.82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40.82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40.82</w:t>
            </w:r>
          </w:p>
        </w:tc>
      </w:tr>
      <w:tr>
        <w:tc>
          <w:tcPr>
            <w:tcW w:type="dxa" w:w="22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   Feedstock</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3.19</w:t>
            </w:r>
          </w:p>
        </w:tc>
      </w:tr>
      <w:tr>
        <w:tc>
          <w:tcPr>
            <w:tcW w:type="dxa" w:w="22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   Other Variable Costs</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19.33</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20.62</w:t>
            </w:r>
          </w:p>
        </w:tc>
      </w:tr>
      <w:tr>
        <w:tc>
          <w:tcPr>
            <w:tcW w:type="dxa" w:w="22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   Fixed Operating Costs</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17.01</w:t>
            </w:r>
          </w:p>
        </w:tc>
      </w:tr>
      <w:tr>
        <w:tc>
          <w:tcPr>
            <w:tcW w:type="dxa" w:w="22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Income Tax</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2.02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26.23</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27.38</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27.63</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27.63</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27.63</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27.63</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27.38</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27.63</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27.63</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27.63</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27.63</w:t>
            </w:r>
          </w:p>
        </w:tc>
      </w:tr>
      <w:tr>
        <w:tc>
          <w:tcPr>
            <w:tcW w:type="dxa" w:w="2200"/>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Annual Cash Income</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14.64</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29.18</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29.18</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29.18</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29.18</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28.48</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29.18</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29.18</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27.16</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2.95</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55.30</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55.76</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55.76</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55.76</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55.76</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55.30</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55.76</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55.76</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55.76</w:t>
            </w:r>
          </w:p>
        </w:tc>
        <w:tc>
          <w:tcPr>
            <w:tcW w:type="dxa" w:w="495"/>
            <w:tcBorders>
              <w:top w:val="single" w:color="000000" w:sz="6"/>
              <w:left w:val="single" w:color="000000" w:sz="8"/>
              <w:bottom w:val="single" w:color="000000" w:sz="6"/>
              <w:right w:val="single" w:color="000000" w:sz="8"/>
            </w:tcBorders>
            <w:shd w:fill="E8E8E8"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55.76</w:t>
            </w:r>
          </w:p>
        </w:tc>
      </w:tr>
      <w:tr>
        <w:tc>
          <w:tcPr>
            <w:tcW w:type="dxa" w:w="2200"/>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left"/>
            </w:pPr>
            <w:r>
              <w:rPr>
                <w:rFonts w:ascii="Calibri" w:cs="Calibri" w:eastAsia="Calibri" w:hAnsi="Calibri"/>
                <w:b w:val="false"/>
                <w:bCs w:val="false"/>
                <w:color w:val="000000"/>
                <w:sz w:val="19"/>
                <w:szCs w:val="19"/>
              </w:rPr>
              <w:t xml:space="preserve">Discount Factor (10% IRR)</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0.91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0.83</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0.75</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0.68</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0.62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0.56</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0.51</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0.47</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0.42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0.39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0.35</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0.32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0.29</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0.26</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0.24</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0.22</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0.20</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0.18</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0.16</w:t>
            </w:r>
          </w:p>
        </w:tc>
        <w:tc>
          <w:tcPr>
            <w:tcW w:type="dxa" w:w="495"/>
            <w:tcBorders>
              <w:top w:val="single" w:color="999999" w:sz="4"/>
              <w:left w:val="single" w:color="999999" w:sz="4"/>
              <w:bottom w:val="single" w:color="999999" w:sz="4"/>
              <w:right w:val="single" w:color="999999" w:sz="4"/>
            </w:tcBorders>
            <w:shd w:fill="FFFFFF" w:val="clear"/>
            <w:tcMar>
              <w:top w:type="dxa" w:w="55"/>
              <w:left w:type="dxa" w:w="90"/>
              <w:bottom w:type="dxa" w:w="55"/>
              <w:right w:type="dxa" w:w="90"/>
            </w:tcMar>
            <w:vAlign w:val="center"/>
          </w:tcPr>
          <w:p>
            <w:pPr>
              <w:jc w:val="right"/>
            </w:pPr>
            <w:r>
              <w:rPr>
                <w:rFonts w:ascii="Calibri" w:cs="Calibri" w:eastAsia="Calibri" w:hAnsi="Calibri"/>
                <w:b w:val="false"/>
                <w:bCs w:val="false"/>
                <w:color w:val="000000"/>
                <w:sz w:val="19"/>
                <w:szCs w:val="19"/>
              </w:rPr>
              <w:t xml:space="preserve">0.15</w:t>
            </w:r>
          </w:p>
        </w:tc>
      </w:tr>
      <w:tr>
        <w:tc>
          <w:tcPr>
            <w:tcW w:type="dxa" w:w="2200"/>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left"/>
            </w:pPr>
            <w:r>
              <w:rPr>
                <w:rFonts w:ascii="Calibri" w:cs="Calibri" w:eastAsia="Calibri" w:hAnsi="Calibri"/>
                <w:b/>
                <w:bCs/>
                <w:color w:val="000000"/>
                <w:sz w:val="19"/>
                <w:szCs w:val="19"/>
              </w:rPr>
              <w:t xml:space="preserve">Annual Present Value ($MM)</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13.31</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24.12</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21.92</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19.93</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18.12</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16.07</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14.97</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13.61</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11.52</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1.14</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19.38</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17.77</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16.15</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14.68</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13.35</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12.03</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11.03</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10.03</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9.12</w:t>
            </w:r>
          </w:p>
        </w:tc>
        <w:tc>
          <w:tcPr>
            <w:tcW w:type="dxa" w:w="495"/>
            <w:tcBorders>
              <w:top w:val="single" w:color="000000" w:sz="8"/>
              <w:left w:val="single" w:color="000000" w:sz="8"/>
              <w:bottom w:val="single" w:color="000000" w:sz="8"/>
              <w:right w:val="single" w:color="000000" w:sz="8"/>
            </w:tcBorders>
            <w:shd w:fill="D9D9D9" w:val="clear"/>
            <w:tcMar>
              <w:top w:type="dxa" w:w="55"/>
              <w:left w:type="dxa" w:w="90"/>
              <w:bottom w:type="dxa" w:w="55"/>
              <w:right w:type="dxa" w:w="90"/>
            </w:tcMar>
            <w:vAlign w:val="center"/>
          </w:tcPr>
          <w:p>
            <w:pPr>
              <w:jc w:val="right"/>
            </w:pPr>
            <w:r>
              <w:rPr>
                <w:rFonts w:ascii="Calibri" w:cs="Calibri" w:eastAsia="Calibri" w:hAnsi="Calibri"/>
                <w:b/>
                <w:bCs/>
                <w:color w:val="000000"/>
                <w:sz w:val="19"/>
                <w:szCs w:val="19"/>
              </w:rPr>
              <w:t xml:space="preserve">8.29</w:t>
            </w:r>
          </w:p>
        </w:tc>
      </w:tr>
    </w:tbl>
    <w:p>
      <w:pPr>
        <w:spacing w:after="120" w:before="50"/>
      </w:pPr>
      <w:r>
        <w:rPr>
          <w:rFonts w:ascii="Calibri" w:cs="Calibri" w:eastAsia="Calibri" w:hAnsi="Calibri"/>
          <w:i/>
          <w:iCs/>
          <w:color w:val="444444"/>
          <w:sz w:val="17"/>
          <w:szCs w:val="17"/>
        </w:rPr>
        <w:t xml:space="preserve">Table 4. 20-year discounted cash flow in 2024 US dollars (all values in million dollars). Source: NREL dw1910a.xlsm, DCFROR sheet (rows 40–69). FCI spending: Year −1 = 60%, Year 0 = 40% (DCFROR B24/B25/B26). Startup Year 1: production at 75% of normal, variable costs at 75%, fixed costs at 100%. Baghouse bag replacement (every 5 years) causes slight cost increase in years 1, 6, 11, 16. Income taxes are zero during years 1–8 because accumulated tax losses (net operating losses carried forward from MACRS depreciation) offset taxable income. Loan payment = $54.21M/yr for 10 years (DCFROR row 44). Discount factor at 10% IRR. NPV of all annual present values = $2.13M ≈ $0, confirming Goal Seek convergence. Total project NPV = $336.1M represents present value of all future cash flows discounted at 10% IRR.</w:t>
      </w:r>
    </w:p>
    <w:p>
      <w:r>
        <w:t xml:space="preserve"/>
      </w:r>
    </w:p>
    <w:p>
      <w:pPr>
        <w:spacing w:after="60" w:before="120"/>
      </w:pPr>
      <w:r>
        <w:rPr>
          <w:rFonts w:ascii="Calibri" w:cs="Calibri" w:eastAsia="Calibri" w:hAnsi="Calibri"/>
          <w:b/>
          <w:bCs/>
          <w:color w:val="000000"/>
          <w:sz w:val="21"/>
          <w:szCs w:val="21"/>
        </w:rPr>
        <w:t xml:space="preserve">Cash Flow Notes</w:t>
      </w:r>
    </w:p>
    <w:p>
      <w:pPr>
        <w:spacing w:after="100"/>
      </w:pPr>
      <w:r>
        <w:rPr>
          <w:rFonts w:ascii="Calibri" w:cs="Calibri" w:eastAsia="Calibri" w:hAnsi="Calibri"/>
          <w:color w:val="000000"/>
          <w:sz w:val="20"/>
          <w:szCs w:val="20"/>
        </w:rPr>
        <w:t xml:space="preserve">Year 1 (startup): Sales reduced to 87.5% of full capacity because startup year ethanol production is 87.5% of normal. Costs are 75% variable + 100% fixed per NREL startup assumptions.</w:t>
      </w:r>
    </w:p>
    <w:p>
      <w:pPr>
        <w:spacing w:after="100"/>
      </w:pPr>
      <w:r>
        <w:rPr>
          <w:rFonts w:ascii="Calibri" w:cs="Calibri" w:eastAsia="Calibri" w:hAnsi="Calibri"/>
          <w:color w:val="000000"/>
          <w:sz w:val="20"/>
          <w:szCs w:val="20"/>
        </w:rPr>
        <w:t xml:space="preserve">Years 1–8 (tax-free): MACRS depreciation on $506.7M general plant (7-year schedule) generates tax losses that carry forward, sheltering income from federal income tax entirely through Year 8 and partially through Year 9.</w:t>
      </w:r>
    </w:p>
    <w:p>
      <w:pPr>
        <w:spacing w:after="100"/>
      </w:pPr>
      <w:r>
        <w:rPr>
          <w:rFonts w:ascii="Calibri" w:cs="Calibri" w:eastAsia="Calibri" w:hAnsi="Calibri"/>
          <w:color w:val="000000"/>
          <w:sz w:val="20"/>
          <w:szCs w:val="20"/>
        </w:rPr>
        <w:t xml:space="preserve">Year 10 (loan payoff dip): The 10-year equipment loan ($363.7M at 8% interest) is fully retired. The year-over-year cash income drop from $27.2M (Year 9) to $3.0M (Year 10) occurs because depreciation tax shields have expired while full income taxes ($26.2M) are now due. This is an artifact of the loan structure and MACRS timing, not an operational problem.</w:t>
      </w:r>
    </w:p>
    <w:p>
      <w:pPr>
        <w:spacing w:after="100"/>
      </w:pPr>
      <w:r>
        <w:rPr>
          <w:rFonts w:ascii="Calibri" w:cs="Calibri" w:eastAsia="Calibri" w:hAnsi="Calibri"/>
          <w:color w:val="000000"/>
          <w:sz w:val="20"/>
          <w:szCs w:val="20"/>
        </w:rPr>
        <w:t xml:space="preserve">Years 11–20 (steady state): After loan retirement, cash income stabilizes at $55.3–55.8M/yr as the plant operates with no loan burden and full income tax liability. This represents the true steady-state cash generation capacity of the facility.</w:t>
      </w:r>
    </w:p>
    <w:p>
      <w:pPr>
        <w:spacing w:after="100"/>
      </w:pPr>
      <w:r>
        <w:rPr>
          <w:rFonts w:ascii="Calibri" w:cs="Calibri" w:eastAsia="Calibri" w:hAnsi="Calibri"/>
          <w:color w:val="000000"/>
          <w:sz w:val="20"/>
          <w:szCs w:val="20"/>
        </w:rPr>
        <w:t xml:space="preserve">Terminal value: NREL assumes zero salvage value for both general plant and steam plant per current IRS rules (DCFROR rows 18–19). Working capital of $30.3M is recovered at end of Year 20 (not shown explicitly in cash flow but included in NPV calculation).</w:t>
      </w:r>
    </w:p>
    <w:sectPr>
      <w:headerReference w:type="default" r:id="rId9"/>
      <w:footerReference w:type="default" r:id="rId10"/>
      <w:pgSz w:w="15840" w:h="12240" w:orient="portrait"/>
      <w:pgMar w:top="720" w:right="720" w:bottom="8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right"/>
    </w:pPr>
    <w:r>
      <w:rPr>
        <w:rFonts w:ascii="Calibri" w:cs="Calibri" w:eastAsia="Calibri" w:hAnsi="Calibri"/>
        <w:color w:val="444444"/>
        <w:sz w:val="17"/>
        <w:szCs w:val="17"/>
      </w:rPr>
      <w:t xml:space="preserve">Page </w:t>
    </w:r>
    <w:r>
      <w:rPr>
        <w:rFonts w:ascii="Calibri" w:cs="Calibri" w:eastAsia="Calibri" w:hAnsi="Calibri"/>
        <w:color w:val="444444"/>
        <w:sz w:val="17"/>
        <w:szCs w:val="17"/>
      </w:rPr>
      <w:fldChar w:fldCharType="begin"/>
      <w:instrText xml:space="preserve">PAGE</w:instrText>
      <w:fldChar w:fldCharType="separate"/>
      <w:fldChar w:fldCharType="end"/>
    </w:r>
    <w:r>
      <w:rPr>
        <w:rFonts w:ascii="Calibri" w:cs="Calibri" w:eastAsia="Calibri" w:hAnsi="Calibri"/>
        <w:color w:val="444444"/>
        <w:sz w:val="17"/>
        <w:szCs w:val="17"/>
      </w:rPr>
      <w:t xml:space="preserve"> of </w:t>
    </w:r>
    <w:r>
      <w:rPr>
        <w:rFonts w:ascii="Calibri" w:cs="Calibri" w:eastAsia="Calibri" w:hAnsi="Calibri"/>
        <w:color w:val="444444"/>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right"/>
    </w:pPr>
    <w:r>
      <w:rPr>
        <w:rFonts w:ascii="Calibri" w:cs="Calibri" w:eastAsia="Calibri" w:hAnsi="Calibri"/>
        <w:color w:val="444444"/>
        <w:sz w:val="17"/>
        <w:szCs w:val="17"/>
      </w:rPr>
      <w:t xml:space="preserve">Page </w:t>
    </w:r>
    <w:r>
      <w:rPr>
        <w:rFonts w:ascii="Calibri" w:cs="Calibri" w:eastAsia="Calibri" w:hAnsi="Calibri"/>
        <w:color w:val="444444"/>
        <w:sz w:val="17"/>
        <w:szCs w:val="17"/>
      </w:rPr>
      <w:fldChar w:fldCharType="begin"/>
      <w:instrText xml:space="preserve">PAGE</w:instrText>
      <w:fldChar w:fldCharType="separate"/>
      <w:fldChar w:fldCharType="end"/>
    </w:r>
    <w:r>
      <w:rPr>
        <w:rFonts w:ascii="Calibri" w:cs="Calibri" w:eastAsia="Calibri" w:hAnsi="Calibri"/>
        <w:color w:val="444444"/>
        <w:sz w:val="17"/>
        <w:szCs w:val="17"/>
      </w:rPr>
      <w:t xml:space="preserve"> of </w:t>
    </w:r>
    <w:r>
      <w:rPr>
        <w:rFonts w:ascii="Calibri" w:cs="Calibri" w:eastAsia="Calibri" w:hAnsi="Calibri"/>
        <w:color w:val="444444"/>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spacing w:after="0"/>
    </w:pPr>
    <w:r>
      <w:rPr>
        <w:rFonts w:ascii="Calibri" w:cs="Calibri" w:eastAsia="Calibri" w:hAnsi="Calibri"/>
        <w:color w:val="444444"/>
        <w:sz w:val="17"/>
        <w:szCs w:val="17"/>
      </w:rPr>
      <w:t xml:space="preserve">ChemE 486 — Process Design II  |  Team Apple  |  Spring 2026  |  Economic Analysis: OPEX, Cash Flow, and Sensitivity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spacing w:after="0"/>
    </w:pPr>
    <w:r>
      <w:rPr>
        <w:rFonts w:ascii="Calibri" w:cs="Calibri" w:eastAsia="Calibri" w:hAnsi="Calibri"/>
        <w:color w:val="444444"/>
        <w:sz w:val="17"/>
        <w:szCs w:val="17"/>
      </w:rPr>
      <w:t xml:space="preserve">ChemE 486 — Process Design II  |  Team Apple  |  Spring 2026  |  Table 4: 20-Year Discounted Cash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2026-05-25T16:29:27.095Z</dcterms:created>
  <dcterms:modified xsi:type="dcterms:W3CDTF">2026-05-25T16:29:27.096Z</dcterms:modified>
</cp:coreProperties>
</file>

<file path=docProps/custom.xml><?xml version="1.0" encoding="utf-8"?>
<Properties xmlns="http://schemas.openxmlformats.org/officeDocument/2006/custom-properties" xmlns:vt="http://schemas.openxmlformats.org/officeDocument/2006/docPropsVTypes"/>
</file>