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57600A" w:rsidRDefault="00265D21">
      <w:pPr>
        <w:spacing w:line="240" w:lineRule="auto"/>
        <w:jc w:val="center"/>
        <w:rPr>
          <w:sz w:val="24"/>
          <w:szCs w:val="24"/>
        </w:rPr>
      </w:pPr>
      <w:r>
        <w:rPr>
          <w:sz w:val="24"/>
          <w:szCs w:val="24"/>
        </w:rPr>
        <w:t>BIOEN 491 Final Project Report</w:t>
      </w:r>
    </w:p>
    <w:p w14:paraId="00000002" w14:textId="77777777" w:rsidR="0057600A" w:rsidRDefault="00265D21">
      <w:pPr>
        <w:spacing w:line="240" w:lineRule="auto"/>
        <w:jc w:val="center"/>
        <w:rPr>
          <w:sz w:val="24"/>
          <w:szCs w:val="24"/>
        </w:rPr>
      </w:pPr>
      <w:r>
        <w:rPr>
          <w:sz w:val="24"/>
          <w:szCs w:val="24"/>
        </w:rPr>
        <w:t>Mark Heien, Rachael Hill, Edward Huang, and Vinh Pham</w:t>
      </w:r>
    </w:p>
    <w:p w14:paraId="00000003" w14:textId="77777777" w:rsidR="0057600A" w:rsidRDefault="0057600A">
      <w:pPr>
        <w:spacing w:line="240" w:lineRule="auto"/>
        <w:jc w:val="center"/>
        <w:rPr>
          <w:sz w:val="24"/>
          <w:szCs w:val="24"/>
        </w:rPr>
      </w:pPr>
    </w:p>
    <w:p w14:paraId="00000004" w14:textId="77777777" w:rsidR="0057600A" w:rsidRDefault="00265D21">
      <w:pPr>
        <w:spacing w:line="240" w:lineRule="auto"/>
        <w:rPr>
          <w:sz w:val="24"/>
          <w:szCs w:val="24"/>
        </w:rPr>
      </w:pPr>
      <w:r>
        <w:rPr>
          <w:b/>
          <w:bCs/>
          <w:sz w:val="24"/>
          <w:szCs w:val="24"/>
        </w:rPr>
        <w:t>Disease Background: Hemophilia A</w:t>
      </w:r>
    </w:p>
    <w:p w14:paraId="00000005" w14:textId="77777777" w:rsidR="0057600A" w:rsidRDefault="00265D21">
      <w:pPr>
        <w:spacing w:line="240" w:lineRule="auto"/>
        <w:rPr>
          <w:sz w:val="24"/>
          <w:szCs w:val="24"/>
        </w:rPr>
      </w:pPr>
      <w:r>
        <w:rPr>
          <w:sz w:val="24"/>
          <w:szCs w:val="24"/>
        </w:rPr>
        <w:t>Hemophilia A is an inherited bleeding disorder caused by deficient or dysfunctional coagulation factor VIII (FVIII), most often due to pathogenic variants in the X-linked F8 gene. Diagnosis is established by low FVIII clotting activity with normal functional von Willebrand factor, and disease severity is usually classified by residual FVIII activity: severe disease is &lt;1%, moderate disease is 1-5%, and mild disease is &gt;5% to &lt;40% of normal activity</w:t>
      </w:r>
      <w:hyperlink r:id="rId5">
        <w:r>
          <w:rPr>
            <w:sz w:val="24"/>
            <w:szCs w:val="24"/>
            <w:vertAlign w:val="superscript"/>
          </w:rPr>
          <w:t>1,2</w:t>
        </w:r>
      </w:hyperlink>
      <w:r>
        <w:rPr>
          <w:sz w:val="24"/>
          <w:szCs w:val="24"/>
        </w:rPr>
        <w:t>. FVIII normally circulates bound to von Willebrand factor and, after thrombin activation, functions as activated FVIII (</w:t>
      </w:r>
      <w:proofErr w:type="spellStart"/>
      <w:r>
        <w:rPr>
          <w:sz w:val="24"/>
          <w:szCs w:val="24"/>
        </w:rPr>
        <w:t>FVIIIa</w:t>
      </w:r>
      <w:proofErr w:type="spellEnd"/>
      <w:r>
        <w:rPr>
          <w:sz w:val="24"/>
          <w:szCs w:val="24"/>
        </w:rPr>
        <w:t xml:space="preserve">). </w:t>
      </w:r>
      <w:proofErr w:type="spellStart"/>
      <w:r>
        <w:rPr>
          <w:sz w:val="24"/>
          <w:szCs w:val="24"/>
        </w:rPr>
        <w:t>FVIIIa</w:t>
      </w:r>
      <w:proofErr w:type="spellEnd"/>
      <w:r>
        <w:rPr>
          <w:sz w:val="24"/>
          <w:szCs w:val="24"/>
        </w:rPr>
        <w:t xml:space="preserve"> acts as a cofactor for activated factor IX (</w:t>
      </w:r>
      <w:proofErr w:type="spellStart"/>
      <w:r>
        <w:rPr>
          <w:sz w:val="24"/>
          <w:szCs w:val="24"/>
        </w:rPr>
        <w:t>FIXa</w:t>
      </w:r>
      <w:proofErr w:type="spellEnd"/>
      <w:r>
        <w:rPr>
          <w:sz w:val="24"/>
          <w:szCs w:val="24"/>
        </w:rPr>
        <w:t xml:space="preserve">) in the intrinsic </w:t>
      </w:r>
      <w:proofErr w:type="spellStart"/>
      <w:r>
        <w:rPr>
          <w:sz w:val="24"/>
          <w:szCs w:val="24"/>
        </w:rPr>
        <w:t>tenase</w:t>
      </w:r>
      <w:proofErr w:type="spellEnd"/>
      <w:r>
        <w:rPr>
          <w:sz w:val="24"/>
          <w:szCs w:val="24"/>
        </w:rPr>
        <w:t xml:space="preserve"> complex, which accelerates factor X activation and supports the thrombin burst required for fibrin clot formation</w:t>
      </w:r>
      <w:hyperlink r:id="rId6">
        <w:r>
          <w:rPr>
            <w:sz w:val="24"/>
            <w:szCs w:val="24"/>
            <w:vertAlign w:val="superscript"/>
          </w:rPr>
          <w:t>3</w:t>
        </w:r>
      </w:hyperlink>
      <w:r>
        <w:rPr>
          <w:sz w:val="24"/>
          <w:szCs w:val="24"/>
        </w:rPr>
        <w:t>.</w:t>
      </w:r>
    </w:p>
    <w:p w14:paraId="00000006" w14:textId="77777777" w:rsidR="0057600A" w:rsidRDefault="00265D21">
      <w:pPr>
        <w:spacing w:line="240" w:lineRule="auto"/>
        <w:rPr>
          <w:sz w:val="24"/>
          <w:szCs w:val="24"/>
        </w:rPr>
      </w:pPr>
      <w:r>
        <w:rPr>
          <w:sz w:val="24"/>
          <w:szCs w:val="24"/>
        </w:rPr>
        <w:t>When FVIII is absent or insufficient, the coagulation cascade can be initiated but is poorly amplified. As a result, thrombin generation is reduced, fibrin clot formation is impaired, and secondary hemostasis is unstable</w:t>
      </w:r>
      <w:hyperlink r:id="rId7">
        <w:r>
          <w:rPr>
            <w:sz w:val="24"/>
            <w:szCs w:val="24"/>
            <w:vertAlign w:val="superscript"/>
          </w:rPr>
          <w:t>3</w:t>
        </w:r>
      </w:hyperlink>
      <w:r>
        <w:rPr>
          <w:sz w:val="24"/>
          <w:szCs w:val="24"/>
        </w:rPr>
        <w:t>. Clinically, patients may experience prolonged bleeding after trauma, surgery, dental procedures, or injections. In severe Hemophilia A, bleeding can also occur spontaneously, especially into joints and deep muscles. Recurrent hemarthroses are a major long-term problem because they promote synovial inflammation, cartilage damage, chronic pain, and reduced mobility</w:t>
      </w:r>
      <w:hyperlink r:id="rId8">
        <w:r>
          <w:rPr>
            <w:sz w:val="24"/>
            <w:szCs w:val="24"/>
            <w:vertAlign w:val="superscript"/>
          </w:rPr>
          <w:t>1,3</w:t>
        </w:r>
      </w:hyperlink>
      <w:r>
        <w:rPr>
          <w:sz w:val="24"/>
          <w:szCs w:val="24"/>
        </w:rPr>
        <w:t>. For this reason, modern management emphasizes prophylaxis rather than only treating bleeding episodes after they occur. Preventing bleeds is especially important in children and young adults because repeated joint bleeding can create irreversible musculoskeletal damage over time.</w:t>
      </w:r>
    </w:p>
    <w:p w14:paraId="00000007" w14:textId="77777777" w:rsidR="0057600A" w:rsidRDefault="0057600A">
      <w:pPr>
        <w:spacing w:line="240" w:lineRule="auto"/>
        <w:rPr>
          <w:sz w:val="24"/>
          <w:szCs w:val="24"/>
        </w:rPr>
      </w:pPr>
    </w:p>
    <w:p w14:paraId="00000008" w14:textId="77777777" w:rsidR="0057600A" w:rsidRDefault="00265D21">
      <w:pPr>
        <w:spacing w:line="240" w:lineRule="auto"/>
        <w:rPr>
          <w:sz w:val="24"/>
          <w:szCs w:val="24"/>
        </w:rPr>
      </w:pPr>
      <w:r>
        <w:rPr>
          <w:b/>
          <w:bCs/>
          <w:sz w:val="24"/>
          <w:szCs w:val="24"/>
        </w:rPr>
        <w:t xml:space="preserve">Current Clinical Treatment: </w:t>
      </w:r>
      <w:proofErr w:type="spellStart"/>
      <w:r>
        <w:rPr>
          <w:b/>
          <w:bCs/>
          <w:sz w:val="24"/>
          <w:szCs w:val="24"/>
        </w:rPr>
        <w:t>Hemlibra</w:t>
      </w:r>
      <w:proofErr w:type="spellEnd"/>
      <w:r>
        <w:rPr>
          <w:b/>
          <w:bCs/>
          <w:sz w:val="24"/>
          <w:szCs w:val="24"/>
        </w:rPr>
        <w:t xml:space="preserve"> (</w:t>
      </w:r>
      <w:proofErr w:type="spellStart"/>
      <w:r>
        <w:rPr>
          <w:b/>
          <w:bCs/>
          <w:sz w:val="24"/>
          <w:szCs w:val="24"/>
        </w:rPr>
        <w:t>Emicizumab</w:t>
      </w:r>
      <w:proofErr w:type="spellEnd"/>
      <w:r>
        <w:rPr>
          <w:b/>
          <w:bCs/>
          <w:sz w:val="24"/>
          <w:szCs w:val="24"/>
        </w:rPr>
        <w:t>)</w:t>
      </w:r>
    </w:p>
    <w:p w14:paraId="00000009" w14:textId="77777777" w:rsidR="0057600A" w:rsidRDefault="00265D21">
      <w:pPr>
        <w:spacing w:line="240" w:lineRule="auto"/>
        <w:rPr>
          <w:sz w:val="24"/>
          <w:szCs w:val="24"/>
        </w:rPr>
      </w:pPr>
      <w:proofErr w:type="spellStart"/>
      <w:r>
        <w:rPr>
          <w:sz w:val="24"/>
          <w:szCs w:val="24"/>
        </w:rPr>
        <w:t>Hemlibra</w:t>
      </w:r>
      <w:proofErr w:type="spellEnd"/>
      <w:r>
        <w:rPr>
          <w:sz w:val="24"/>
          <w:szCs w:val="24"/>
        </w:rPr>
        <w:t xml:space="preserve">, whose generic name is </w:t>
      </w:r>
      <w:proofErr w:type="spellStart"/>
      <w:r>
        <w:rPr>
          <w:sz w:val="24"/>
          <w:szCs w:val="24"/>
        </w:rPr>
        <w:t>emicizumab-kxwh</w:t>
      </w:r>
      <w:proofErr w:type="spellEnd"/>
      <w:r>
        <w:rPr>
          <w:sz w:val="24"/>
          <w:szCs w:val="24"/>
        </w:rPr>
        <w:t xml:space="preserve">, is an FDA-approved prophylactic therapy for Hemophilia A. It is indicated for routine prophylaxis to prevent or reduce bleeding episodes in adults and pediatric patients from newborn age onward, with or without FVIII inhibitors. </w:t>
      </w:r>
      <w:proofErr w:type="spellStart"/>
      <w:r>
        <w:rPr>
          <w:sz w:val="24"/>
          <w:szCs w:val="24"/>
        </w:rPr>
        <w:t>Emicizumab</w:t>
      </w:r>
      <w:proofErr w:type="spellEnd"/>
      <w:r>
        <w:rPr>
          <w:sz w:val="24"/>
          <w:szCs w:val="24"/>
        </w:rPr>
        <w:t xml:space="preserve"> is a humanized modified IgG4 bispecific monoclonal antibody directed against </w:t>
      </w:r>
      <w:proofErr w:type="spellStart"/>
      <w:r>
        <w:rPr>
          <w:sz w:val="24"/>
          <w:szCs w:val="24"/>
        </w:rPr>
        <w:t>FIXa</w:t>
      </w:r>
      <w:proofErr w:type="spellEnd"/>
      <w:r>
        <w:rPr>
          <w:sz w:val="24"/>
          <w:szCs w:val="24"/>
        </w:rPr>
        <w:t xml:space="preserve"> and factor X</w:t>
      </w:r>
      <w:hyperlink r:id="rId9">
        <w:r>
          <w:rPr>
            <w:sz w:val="24"/>
            <w:szCs w:val="24"/>
            <w:vertAlign w:val="superscript"/>
          </w:rPr>
          <w:t>4</w:t>
        </w:r>
      </w:hyperlink>
      <w:r>
        <w:rPr>
          <w:sz w:val="24"/>
          <w:szCs w:val="24"/>
        </w:rPr>
        <w:t xml:space="preserve">. Its therapeutic target is not FVIII itself, but the functional gap created by absent </w:t>
      </w:r>
      <w:proofErr w:type="spellStart"/>
      <w:r>
        <w:rPr>
          <w:sz w:val="24"/>
          <w:szCs w:val="24"/>
        </w:rPr>
        <w:t>FVIIIa</w:t>
      </w:r>
      <w:proofErr w:type="spellEnd"/>
      <w:r>
        <w:rPr>
          <w:sz w:val="24"/>
          <w:szCs w:val="24"/>
        </w:rPr>
        <w:t xml:space="preserve">. By binding </w:t>
      </w:r>
      <w:proofErr w:type="spellStart"/>
      <w:r>
        <w:rPr>
          <w:sz w:val="24"/>
          <w:szCs w:val="24"/>
        </w:rPr>
        <w:t>FIXa</w:t>
      </w:r>
      <w:proofErr w:type="spellEnd"/>
      <w:r>
        <w:rPr>
          <w:sz w:val="24"/>
          <w:szCs w:val="24"/>
        </w:rPr>
        <w:t xml:space="preserve"> and FX at the same time, </w:t>
      </w:r>
      <w:proofErr w:type="spellStart"/>
      <w:r>
        <w:rPr>
          <w:sz w:val="24"/>
          <w:szCs w:val="24"/>
        </w:rPr>
        <w:t>emicizumab</w:t>
      </w:r>
      <w:proofErr w:type="spellEnd"/>
      <w:r>
        <w:rPr>
          <w:sz w:val="24"/>
          <w:szCs w:val="24"/>
        </w:rPr>
        <w:t xml:space="preserve"> brings these proteins into proximity and mimics the cofactor function of </w:t>
      </w:r>
      <w:proofErr w:type="spellStart"/>
      <w:r>
        <w:rPr>
          <w:sz w:val="24"/>
          <w:szCs w:val="24"/>
        </w:rPr>
        <w:t>FVIIIa</w:t>
      </w:r>
      <w:proofErr w:type="spellEnd"/>
      <w:r>
        <w:rPr>
          <w:sz w:val="24"/>
          <w:szCs w:val="24"/>
        </w:rPr>
        <w:t xml:space="preserve"> needed for effective hemostasis</w:t>
      </w:r>
      <w:hyperlink r:id="rId10">
        <w:r>
          <w:rPr>
            <w:sz w:val="24"/>
            <w:szCs w:val="24"/>
            <w:vertAlign w:val="superscript"/>
          </w:rPr>
          <w:t>4,5</w:t>
        </w:r>
      </w:hyperlink>
      <w:r>
        <w:rPr>
          <w:color w:val="FF0000"/>
          <w:sz w:val="24"/>
          <w:szCs w:val="24"/>
        </w:rPr>
        <w:t>.</w:t>
      </w:r>
      <w:r>
        <w:rPr>
          <w:sz w:val="24"/>
          <w:szCs w:val="24"/>
        </w:rPr>
        <w:t xml:space="preserve"> It is therefore a non-factor therapy, not FVIII replacement. Because it has no structural relationship or sequence homology to FVIII, it can be used in patients who have FVIII inhibitors.</w:t>
      </w:r>
    </w:p>
    <w:p w14:paraId="0000000A" w14:textId="77777777" w:rsidR="0057600A" w:rsidRDefault="00265D21">
      <w:pPr>
        <w:spacing w:line="240" w:lineRule="auto"/>
        <w:rPr>
          <w:sz w:val="24"/>
          <w:szCs w:val="24"/>
        </w:rPr>
      </w:pPr>
      <w:proofErr w:type="spellStart"/>
      <w:r>
        <w:rPr>
          <w:sz w:val="24"/>
          <w:szCs w:val="24"/>
        </w:rPr>
        <w:t>Hemlibra</w:t>
      </w:r>
      <w:proofErr w:type="spellEnd"/>
      <w:r>
        <w:rPr>
          <w:sz w:val="24"/>
          <w:szCs w:val="24"/>
        </w:rPr>
        <w:t xml:space="preserve"> is formulated as a sterile, preservative-free solution for subcutaneous injection in single-dose vials. The labeled loading dose is 3 mg/kg once weekly for the first 4 weeks. After loading, patients use one of three maintenance regimens: 1.5 mg/kg once weekly, 3 mg/kg every 2 weeks, or 6 mg/kg every 4 weeks</w:t>
      </w:r>
      <w:hyperlink r:id="rId11">
        <w:r>
          <w:rPr>
            <w:sz w:val="24"/>
            <w:szCs w:val="24"/>
            <w:vertAlign w:val="superscript"/>
          </w:rPr>
          <w:t>4</w:t>
        </w:r>
      </w:hyperlink>
      <w:r>
        <w:rPr>
          <w:sz w:val="24"/>
          <w:szCs w:val="24"/>
        </w:rPr>
        <w:t>. This flexibility is a major clinical advantage because the schedule can be selected based on patient preference, provider judgment, and adherence needs. After training, the injection may be given by the patient or caregiver, which reduces dependence on repeated intravenous access.</w:t>
      </w:r>
    </w:p>
    <w:p w14:paraId="0000000B" w14:textId="77777777" w:rsidR="0057600A" w:rsidRDefault="0057600A">
      <w:pPr>
        <w:spacing w:line="240" w:lineRule="auto"/>
        <w:rPr>
          <w:sz w:val="24"/>
          <w:szCs w:val="24"/>
        </w:rPr>
      </w:pPr>
    </w:p>
    <w:p w14:paraId="0000000C" w14:textId="77777777" w:rsidR="0057600A" w:rsidRDefault="00265D21">
      <w:pPr>
        <w:spacing w:line="240" w:lineRule="auto"/>
        <w:rPr>
          <w:sz w:val="24"/>
          <w:szCs w:val="24"/>
        </w:rPr>
      </w:pPr>
      <w:proofErr w:type="gramStart"/>
      <w:r>
        <w:rPr>
          <w:sz w:val="24"/>
          <w:szCs w:val="24"/>
        </w:rPr>
        <w:t>The pharmacokinetics</w:t>
      </w:r>
      <w:proofErr w:type="gramEnd"/>
      <w:r>
        <w:rPr>
          <w:sz w:val="24"/>
          <w:szCs w:val="24"/>
        </w:rPr>
        <w:t xml:space="preserve"> support these extended dosing intervals. After subcutaneous administration, </w:t>
      </w:r>
      <w:proofErr w:type="spellStart"/>
      <w:r>
        <w:rPr>
          <w:sz w:val="24"/>
          <w:szCs w:val="24"/>
        </w:rPr>
        <w:t>emicizumab</w:t>
      </w:r>
      <w:proofErr w:type="spellEnd"/>
      <w:r>
        <w:rPr>
          <w:sz w:val="24"/>
          <w:szCs w:val="24"/>
        </w:rPr>
        <w:t xml:space="preserve"> shows dose-proportional pharmacokinetics over 0.3-6 mg/kg. Following the 4-week loading phase, the mean trough plasma concentration at week 5 is 52.6 +/- 13.6 microgram/mL</w:t>
      </w:r>
      <w:hyperlink r:id="rId12">
        <w:r>
          <w:rPr>
            <w:sz w:val="24"/>
            <w:szCs w:val="24"/>
            <w:vertAlign w:val="superscript"/>
          </w:rPr>
          <w:t>4</w:t>
        </w:r>
      </w:hyperlink>
      <w:r>
        <w:rPr>
          <w:color w:val="FF0000"/>
          <w:sz w:val="24"/>
          <w:szCs w:val="24"/>
        </w:rPr>
        <w:t>.</w:t>
      </w:r>
      <w:r>
        <w:rPr>
          <w:sz w:val="24"/>
          <w:szCs w:val="24"/>
        </w:rPr>
        <w:t xml:space="preserve"> The mean absorption half-life is 1.6 +/- </w:t>
      </w:r>
      <w:proofErr w:type="gramStart"/>
      <w:r>
        <w:rPr>
          <w:sz w:val="24"/>
          <w:szCs w:val="24"/>
        </w:rPr>
        <w:t>1 day</w:t>
      </w:r>
      <w:proofErr w:type="gramEnd"/>
      <w:r>
        <w:rPr>
          <w:sz w:val="24"/>
          <w:szCs w:val="24"/>
        </w:rPr>
        <w:t>, absolute subcutaneous bioavailability is 80.4-93.1%, apparent volume of distribution is 10.4 L, apparent clearance is 0.27 L/</w:t>
      </w:r>
      <w:proofErr w:type="gramStart"/>
      <w:r>
        <w:rPr>
          <w:sz w:val="24"/>
          <w:szCs w:val="24"/>
        </w:rPr>
        <w:t>day, and</w:t>
      </w:r>
      <w:proofErr w:type="gramEnd"/>
      <w:r>
        <w:rPr>
          <w:sz w:val="24"/>
          <w:szCs w:val="24"/>
        </w:rPr>
        <w:t xml:space="preserve"> mean apparent elimination half-life is 26.9 +/- 9.1 days</w:t>
      </w:r>
      <w:r>
        <w:rPr>
          <w:color w:val="FF0000"/>
          <w:sz w:val="24"/>
          <w:szCs w:val="24"/>
        </w:rPr>
        <w:t xml:space="preserve"> </w:t>
      </w:r>
      <w:hyperlink r:id="rId13">
        <w:r>
          <w:rPr>
            <w:sz w:val="24"/>
            <w:szCs w:val="24"/>
            <w:vertAlign w:val="superscript"/>
          </w:rPr>
          <w:t>4</w:t>
        </w:r>
      </w:hyperlink>
      <w:r>
        <w:rPr>
          <w:sz w:val="24"/>
          <w:szCs w:val="24"/>
        </w:rPr>
        <w:t xml:space="preserve">. These properties make </w:t>
      </w:r>
      <w:proofErr w:type="spellStart"/>
      <w:r>
        <w:rPr>
          <w:sz w:val="24"/>
          <w:szCs w:val="24"/>
        </w:rPr>
        <w:t>Hemlibra</w:t>
      </w:r>
      <w:proofErr w:type="spellEnd"/>
      <w:r>
        <w:rPr>
          <w:sz w:val="24"/>
          <w:szCs w:val="24"/>
        </w:rPr>
        <w:t xml:space="preserve"> much less frequent than conventional short-acting FVIII infusion regimens.</w:t>
      </w:r>
    </w:p>
    <w:p w14:paraId="0000000D" w14:textId="77777777" w:rsidR="0057600A" w:rsidRDefault="00265D21">
      <w:pPr>
        <w:spacing w:line="240" w:lineRule="auto"/>
        <w:rPr>
          <w:sz w:val="24"/>
          <w:szCs w:val="24"/>
        </w:rPr>
      </w:pPr>
      <w:r>
        <w:rPr>
          <w:sz w:val="24"/>
          <w:szCs w:val="24"/>
        </w:rPr>
        <w:t>The most common adverse reactions in pooled trials were injection-site reactions, headache, and arthralgia, reported in 22%, 15%, and 15% of patients, respectively</w:t>
      </w:r>
      <w:hyperlink r:id="rId14">
        <w:r>
          <w:rPr>
            <w:sz w:val="24"/>
            <w:szCs w:val="24"/>
            <w:vertAlign w:val="superscript"/>
          </w:rPr>
          <w:t>4</w:t>
        </w:r>
      </w:hyperlink>
      <w:r>
        <w:rPr>
          <w:sz w:val="24"/>
          <w:szCs w:val="24"/>
        </w:rPr>
        <w:t>. The most important safety warning is thrombotic microangiopathy and thrombotic events when activated prothrombin complex concentrate (</w:t>
      </w:r>
      <w:proofErr w:type="spellStart"/>
      <w:r>
        <w:rPr>
          <w:sz w:val="24"/>
          <w:szCs w:val="24"/>
        </w:rPr>
        <w:t>aPCC</w:t>
      </w:r>
      <w:proofErr w:type="spellEnd"/>
      <w:r>
        <w:rPr>
          <w:sz w:val="24"/>
          <w:szCs w:val="24"/>
        </w:rPr>
        <w:t xml:space="preserve">) is used at an average cumulative exposure greater than 100 U/kg/24 hours for </w:t>
      </w:r>
      <w:r>
        <w:rPr>
          <w:sz w:val="24"/>
          <w:szCs w:val="24"/>
        </w:rPr>
        <w:lastRenderedPageBreak/>
        <w:t xml:space="preserve">24 hours or more in patients receiving </w:t>
      </w:r>
      <w:proofErr w:type="spellStart"/>
      <w:r>
        <w:rPr>
          <w:sz w:val="24"/>
          <w:szCs w:val="24"/>
        </w:rPr>
        <w:t>Hemlibra</w:t>
      </w:r>
      <w:proofErr w:type="spellEnd"/>
      <w:r>
        <w:rPr>
          <w:sz w:val="24"/>
          <w:szCs w:val="24"/>
        </w:rPr>
        <w:t xml:space="preserve"> prophylaxis</w:t>
      </w:r>
      <w:hyperlink r:id="rId15">
        <w:r>
          <w:rPr>
            <w:sz w:val="24"/>
            <w:szCs w:val="24"/>
            <w:vertAlign w:val="superscript"/>
          </w:rPr>
          <w:t>4</w:t>
        </w:r>
      </w:hyperlink>
      <w:r>
        <w:rPr>
          <w:sz w:val="24"/>
          <w:szCs w:val="24"/>
        </w:rPr>
        <w:t xml:space="preserve">. </w:t>
      </w:r>
      <w:proofErr w:type="spellStart"/>
      <w:r>
        <w:rPr>
          <w:sz w:val="24"/>
          <w:szCs w:val="24"/>
        </w:rPr>
        <w:t>Hemlibra</w:t>
      </w:r>
      <w:proofErr w:type="spellEnd"/>
      <w:r>
        <w:rPr>
          <w:sz w:val="24"/>
          <w:szCs w:val="24"/>
        </w:rPr>
        <w:t xml:space="preserve"> also interferes with aPTT and aPTT-based clotting assays, so intrinsic pathway clotting tests should not be used to monitor </w:t>
      </w:r>
      <w:proofErr w:type="spellStart"/>
      <w:r>
        <w:rPr>
          <w:sz w:val="24"/>
          <w:szCs w:val="24"/>
        </w:rPr>
        <w:t>Hemlibra</w:t>
      </w:r>
      <w:proofErr w:type="spellEnd"/>
      <w:r>
        <w:rPr>
          <w:sz w:val="24"/>
          <w:szCs w:val="24"/>
        </w:rPr>
        <w:t xml:space="preserve"> activity or guide FVIII-related decisions</w:t>
      </w:r>
      <w:hyperlink r:id="rId16">
        <w:r>
          <w:rPr>
            <w:sz w:val="24"/>
            <w:szCs w:val="24"/>
            <w:vertAlign w:val="superscript"/>
          </w:rPr>
          <w:t>4</w:t>
        </w:r>
      </w:hyperlink>
      <w:r>
        <w:rPr>
          <w:sz w:val="24"/>
          <w:szCs w:val="24"/>
        </w:rPr>
        <w:t>. Anti-</w:t>
      </w:r>
      <w:proofErr w:type="spellStart"/>
      <w:r>
        <w:rPr>
          <w:sz w:val="24"/>
          <w:szCs w:val="24"/>
        </w:rPr>
        <w:t>emicizumab</w:t>
      </w:r>
      <w:proofErr w:type="spellEnd"/>
      <w:r>
        <w:rPr>
          <w:sz w:val="24"/>
          <w:szCs w:val="24"/>
        </w:rPr>
        <w:t xml:space="preserve"> antibodies have been reported, and rare neutralizing antibodies may reduce exposure and cause loss of efficacy</w:t>
      </w:r>
      <w:hyperlink r:id="rId17">
        <w:r>
          <w:rPr>
            <w:sz w:val="24"/>
            <w:szCs w:val="24"/>
            <w:vertAlign w:val="superscript"/>
          </w:rPr>
          <w:t>4</w:t>
        </w:r>
      </w:hyperlink>
      <w:r>
        <w:rPr>
          <w:sz w:val="24"/>
          <w:szCs w:val="24"/>
        </w:rPr>
        <w:t>.</w:t>
      </w:r>
    </w:p>
    <w:p w14:paraId="0000000E" w14:textId="77777777" w:rsidR="0057600A" w:rsidRDefault="00265D21">
      <w:pPr>
        <w:spacing w:line="240" w:lineRule="auto"/>
        <w:rPr>
          <w:sz w:val="24"/>
          <w:szCs w:val="24"/>
        </w:rPr>
      </w:pPr>
      <w:proofErr w:type="spellStart"/>
      <w:r>
        <w:rPr>
          <w:sz w:val="24"/>
          <w:szCs w:val="24"/>
        </w:rPr>
        <w:t>Hemlibra</w:t>
      </w:r>
      <w:proofErr w:type="spellEnd"/>
      <w:r>
        <w:rPr>
          <w:sz w:val="24"/>
          <w:szCs w:val="24"/>
        </w:rPr>
        <w:t xml:space="preserve"> still has important limitations. It is prophylactic, not curative, and it is not intended as </w:t>
      </w:r>
      <w:proofErr w:type="gramStart"/>
      <w:r>
        <w:rPr>
          <w:sz w:val="24"/>
          <w:szCs w:val="24"/>
        </w:rPr>
        <w:t>a stand</w:t>
      </w:r>
      <w:proofErr w:type="gramEnd"/>
      <w:r>
        <w:rPr>
          <w:sz w:val="24"/>
          <w:szCs w:val="24"/>
        </w:rPr>
        <w:t xml:space="preserve">-alone immediate treatment for acute breakthrough bleeding. Patients may still need FVIII products or bypassing agents depending on inhibitor status, and these agents require careful management. Cost, access, lifelong adherence, and laboratory monitoring complexity also remain practical barriers. Even so, the HAVEN clinical program showed that subcutaneous </w:t>
      </w:r>
      <w:proofErr w:type="spellStart"/>
      <w:r>
        <w:rPr>
          <w:sz w:val="24"/>
          <w:szCs w:val="24"/>
        </w:rPr>
        <w:t>emicizumab</w:t>
      </w:r>
      <w:proofErr w:type="spellEnd"/>
      <w:r>
        <w:rPr>
          <w:sz w:val="24"/>
          <w:szCs w:val="24"/>
        </w:rPr>
        <w:t xml:space="preserve"> prophylaxis can substantially reduce trea</w:t>
      </w:r>
      <w:r>
        <w:rPr>
          <w:sz w:val="24"/>
          <w:szCs w:val="24"/>
        </w:rPr>
        <w:t>ted bleeding rates in patients with and without FVIII inhibitors</w:t>
      </w:r>
      <w:hyperlink r:id="rId18">
        <w:r>
          <w:rPr>
            <w:sz w:val="24"/>
            <w:szCs w:val="24"/>
            <w:vertAlign w:val="superscript"/>
          </w:rPr>
          <w:t>6,7</w:t>
        </w:r>
      </w:hyperlink>
      <w:r>
        <w:rPr>
          <w:sz w:val="24"/>
          <w:szCs w:val="24"/>
        </w:rPr>
        <w:t xml:space="preserve">. This makes </w:t>
      </w:r>
      <w:proofErr w:type="spellStart"/>
      <w:r>
        <w:rPr>
          <w:sz w:val="24"/>
          <w:szCs w:val="24"/>
        </w:rPr>
        <w:t>Hemlibra</w:t>
      </w:r>
      <w:proofErr w:type="spellEnd"/>
      <w:r>
        <w:rPr>
          <w:sz w:val="24"/>
          <w:szCs w:val="24"/>
        </w:rPr>
        <w:t xml:space="preserve"> a strong baseline therapeutic for evaluating next-generation delivery systems: it is already clinically validated and long-acting, but further improvements could still reduce treatment burden.</w:t>
      </w:r>
    </w:p>
    <w:p w14:paraId="0000000F" w14:textId="77777777" w:rsidR="0057600A" w:rsidRDefault="0057600A">
      <w:pPr>
        <w:spacing w:line="240" w:lineRule="auto"/>
        <w:rPr>
          <w:b/>
          <w:bCs/>
          <w:sz w:val="24"/>
          <w:szCs w:val="24"/>
        </w:rPr>
      </w:pPr>
    </w:p>
    <w:p w14:paraId="00000010" w14:textId="77777777" w:rsidR="0057600A" w:rsidRDefault="00265D21">
      <w:pPr>
        <w:spacing w:line="240" w:lineRule="auto"/>
        <w:rPr>
          <w:b/>
          <w:bCs/>
          <w:sz w:val="28"/>
          <w:szCs w:val="28"/>
          <w:u w:val="single"/>
        </w:rPr>
      </w:pPr>
      <w:r>
        <w:rPr>
          <w:b/>
          <w:bCs/>
          <w:sz w:val="28"/>
          <w:szCs w:val="28"/>
          <w:u w:val="single"/>
        </w:rPr>
        <w:t>Proposed Alternative Administrations</w:t>
      </w:r>
    </w:p>
    <w:p w14:paraId="00000011" w14:textId="77777777" w:rsidR="0057600A" w:rsidRDefault="00265D21">
      <w:pPr>
        <w:spacing w:line="240" w:lineRule="auto"/>
        <w:rPr>
          <w:b/>
          <w:bCs/>
          <w:sz w:val="24"/>
          <w:szCs w:val="24"/>
        </w:rPr>
      </w:pPr>
      <w:r>
        <w:rPr>
          <w:b/>
          <w:bCs/>
          <w:sz w:val="24"/>
          <w:szCs w:val="24"/>
        </w:rPr>
        <w:t>Alternate 1: Long-acting Subcutaneous Depot System</w:t>
      </w:r>
    </w:p>
    <w:p w14:paraId="00000012" w14:textId="77777777" w:rsidR="0057600A" w:rsidRDefault="00265D21">
      <w:pPr>
        <w:spacing w:line="240" w:lineRule="auto"/>
        <w:rPr>
          <w:sz w:val="24"/>
          <w:szCs w:val="24"/>
          <w:u w:val="single"/>
        </w:rPr>
      </w:pPr>
      <w:r>
        <w:rPr>
          <w:sz w:val="24"/>
          <w:szCs w:val="24"/>
          <w:u w:val="single"/>
        </w:rPr>
        <w:t>Formulation Overview</w:t>
      </w:r>
    </w:p>
    <w:p w14:paraId="00000013" w14:textId="77777777" w:rsidR="0057600A" w:rsidRDefault="00265D21">
      <w:pPr>
        <w:spacing w:line="240" w:lineRule="auto"/>
        <w:rPr>
          <w:sz w:val="24"/>
          <w:szCs w:val="24"/>
        </w:rPr>
      </w:pPr>
      <w:r>
        <w:rPr>
          <w:sz w:val="24"/>
          <w:szCs w:val="24"/>
        </w:rPr>
        <w:t xml:space="preserve">A potential innovative formulation for </w:t>
      </w:r>
      <w:proofErr w:type="spellStart"/>
      <w:r>
        <w:rPr>
          <w:sz w:val="24"/>
          <w:szCs w:val="24"/>
        </w:rPr>
        <w:t>Hemlibra</w:t>
      </w:r>
      <w:proofErr w:type="spellEnd"/>
      <w:r>
        <w:rPr>
          <w:sz w:val="24"/>
          <w:szCs w:val="24"/>
        </w:rPr>
        <w:t xml:space="preserve"> is a long-acting subcutaneous depot system using biodegradable polymeric microspheres, such as </w:t>
      </w:r>
      <w:proofErr w:type="gramStart"/>
      <w:r>
        <w:rPr>
          <w:sz w:val="24"/>
          <w:szCs w:val="24"/>
        </w:rPr>
        <w:t>poly(</w:t>
      </w:r>
      <w:proofErr w:type="gramEnd"/>
      <w:r>
        <w:rPr>
          <w:sz w:val="24"/>
          <w:szCs w:val="24"/>
        </w:rPr>
        <w:t>lactic-co-glycolic acid) (PLGA)</w:t>
      </w:r>
      <w:hyperlink r:id="rId19">
        <w:r>
          <w:rPr>
            <w:sz w:val="24"/>
            <w:szCs w:val="24"/>
            <w:vertAlign w:val="superscript"/>
          </w:rPr>
          <w:t>8,9</w:t>
        </w:r>
      </w:hyperlink>
      <w:r>
        <w:rPr>
          <w:sz w:val="24"/>
          <w:szCs w:val="24"/>
        </w:rPr>
        <w:t xml:space="preserve">. A depot formulation could further reduce dosing frequency through sustained release of </w:t>
      </w:r>
      <w:proofErr w:type="spellStart"/>
      <w:r>
        <w:rPr>
          <w:sz w:val="24"/>
          <w:szCs w:val="24"/>
        </w:rPr>
        <w:t>emicizumab</w:t>
      </w:r>
      <w:proofErr w:type="spellEnd"/>
      <w:r>
        <w:rPr>
          <w:sz w:val="24"/>
          <w:szCs w:val="24"/>
        </w:rPr>
        <w:t xml:space="preserve"> following a single injection. PLGA was selected as the depot material because it is biocompatible, biodegradable, and already widely used in many FDA-approved sustained-release drug products</w:t>
      </w:r>
      <w:hyperlink r:id="rId20">
        <w:r>
          <w:rPr>
            <w:sz w:val="24"/>
            <w:szCs w:val="24"/>
            <w:vertAlign w:val="superscript"/>
          </w:rPr>
          <w:t>8,9</w:t>
        </w:r>
      </w:hyperlink>
      <w:r>
        <w:rPr>
          <w:sz w:val="24"/>
          <w:szCs w:val="24"/>
        </w:rPr>
        <w:t xml:space="preserve">. In this formulation, </w:t>
      </w:r>
      <w:proofErr w:type="spellStart"/>
      <w:r>
        <w:rPr>
          <w:sz w:val="24"/>
          <w:szCs w:val="24"/>
        </w:rPr>
        <w:t>emicizumab</w:t>
      </w:r>
      <w:proofErr w:type="spellEnd"/>
      <w:r>
        <w:rPr>
          <w:sz w:val="24"/>
          <w:szCs w:val="24"/>
        </w:rPr>
        <w:t xml:space="preserve"> would be encapsulated within injectable polymer microspheres that gradually degrade after subcutaneous administration, allowing for controlled antibody release over several weeks or months</w:t>
      </w:r>
      <w:hyperlink r:id="rId21">
        <w:r>
          <w:rPr>
            <w:sz w:val="24"/>
            <w:szCs w:val="24"/>
            <w:vertAlign w:val="superscript"/>
          </w:rPr>
          <w:t>8,9</w:t>
        </w:r>
      </w:hyperlink>
      <w:r>
        <w:rPr>
          <w:sz w:val="24"/>
          <w:szCs w:val="24"/>
        </w:rPr>
        <w:t>. Sustained release may maintain more stable drug concentrations in plasma while reducing fluctuations associated with repeated injections</w:t>
      </w:r>
      <w:hyperlink r:id="rId22">
        <w:r>
          <w:rPr>
            <w:sz w:val="24"/>
            <w:szCs w:val="24"/>
            <w:vertAlign w:val="superscript"/>
          </w:rPr>
          <w:t>10</w:t>
        </w:r>
      </w:hyperlink>
      <w:r>
        <w:rPr>
          <w:sz w:val="24"/>
          <w:szCs w:val="24"/>
        </w:rPr>
        <w:t xml:space="preserve">. Such an approach may improve patient adherence, reduce burden associated with </w:t>
      </w:r>
      <w:proofErr w:type="gramStart"/>
      <w:r>
        <w:rPr>
          <w:sz w:val="24"/>
          <w:szCs w:val="24"/>
        </w:rPr>
        <w:t>injection</w:t>
      </w:r>
      <w:proofErr w:type="gramEnd"/>
      <w:r>
        <w:rPr>
          <w:sz w:val="24"/>
          <w:szCs w:val="24"/>
        </w:rPr>
        <w:t>, and increase convenience, particularly for pediatric patients and those requiring lifelong prophylactic therapy. However, due to monoclonal antibodies' sensitive structure, formulation stability during encapsulation and long-term release remains a significant technical challenge</w:t>
      </w:r>
      <w:hyperlink r:id="rId23">
        <w:r>
          <w:rPr>
            <w:sz w:val="24"/>
            <w:szCs w:val="24"/>
            <w:vertAlign w:val="superscript"/>
          </w:rPr>
          <w:t>8</w:t>
        </w:r>
      </w:hyperlink>
      <w:r>
        <w:rPr>
          <w:sz w:val="24"/>
          <w:szCs w:val="24"/>
        </w:rPr>
        <w:t>.</w:t>
      </w:r>
    </w:p>
    <w:p w14:paraId="00000014" w14:textId="77777777" w:rsidR="0057600A" w:rsidRDefault="0057600A">
      <w:pPr>
        <w:spacing w:line="240" w:lineRule="auto"/>
        <w:rPr>
          <w:sz w:val="24"/>
          <w:szCs w:val="24"/>
        </w:rPr>
      </w:pPr>
    </w:p>
    <w:p w14:paraId="00000015" w14:textId="77777777" w:rsidR="0057600A" w:rsidRDefault="00265D21">
      <w:pPr>
        <w:spacing w:line="240" w:lineRule="auto"/>
        <w:rPr>
          <w:sz w:val="24"/>
          <w:szCs w:val="24"/>
          <w:u w:val="single"/>
        </w:rPr>
      </w:pPr>
      <w:r>
        <w:rPr>
          <w:sz w:val="24"/>
          <w:szCs w:val="24"/>
          <w:u w:val="single"/>
        </w:rPr>
        <w:t>Dosage and Expected Pharmacokinetics</w:t>
      </w:r>
    </w:p>
    <w:p w14:paraId="00000016" w14:textId="77777777" w:rsidR="0057600A" w:rsidRDefault="00265D21">
      <w:pPr>
        <w:spacing w:line="240" w:lineRule="auto"/>
        <w:rPr>
          <w:sz w:val="24"/>
          <w:szCs w:val="24"/>
        </w:rPr>
      </w:pPr>
      <w:r>
        <w:rPr>
          <w:sz w:val="24"/>
          <w:szCs w:val="24"/>
        </w:rPr>
        <w:t xml:space="preserve">In a PLGA depot formulation, the total administered dose would likely remain similar to existing monthly dosing regimens, but the drug release would occur gradually over an extended </w:t>
      </w:r>
      <w:proofErr w:type="gramStart"/>
      <w:r>
        <w:rPr>
          <w:sz w:val="24"/>
          <w:szCs w:val="24"/>
        </w:rPr>
        <w:t>period of time</w:t>
      </w:r>
      <w:proofErr w:type="gramEnd"/>
      <w:r>
        <w:rPr>
          <w:sz w:val="24"/>
          <w:szCs w:val="24"/>
        </w:rPr>
        <w:t xml:space="preserve"> rather than through immediate absorption following administration</w:t>
      </w:r>
      <w:hyperlink r:id="rId24">
        <w:r>
          <w:rPr>
            <w:sz w:val="24"/>
            <w:szCs w:val="24"/>
            <w:vertAlign w:val="superscript"/>
          </w:rPr>
          <w:t>4,7</w:t>
        </w:r>
      </w:hyperlink>
      <w:r>
        <w:rPr>
          <w:sz w:val="24"/>
          <w:szCs w:val="24"/>
        </w:rPr>
        <w:t>.</w:t>
      </w:r>
    </w:p>
    <w:p w14:paraId="00000017" w14:textId="77777777" w:rsidR="0057600A" w:rsidRDefault="00265D21">
      <w:pPr>
        <w:spacing w:line="240" w:lineRule="auto"/>
        <w:rPr>
          <w:sz w:val="24"/>
          <w:szCs w:val="24"/>
        </w:rPr>
      </w:pPr>
      <w:r>
        <w:rPr>
          <w:sz w:val="24"/>
          <w:szCs w:val="24"/>
        </w:rPr>
        <w:t>A sustained-release depot formulation could potentially extend the dosing interval from a monthly administration to once every two or three months, depending on polymer composition, microsphere size, and release kinetics</w:t>
      </w:r>
      <w:hyperlink r:id="rId25">
        <w:r>
          <w:rPr>
            <w:sz w:val="24"/>
            <w:szCs w:val="24"/>
            <w:vertAlign w:val="superscript"/>
          </w:rPr>
          <w:t>8,11</w:t>
        </w:r>
      </w:hyperlink>
      <w:r>
        <w:rPr>
          <w:sz w:val="24"/>
          <w:szCs w:val="24"/>
        </w:rPr>
        <w:t xml:space="preserve">. Following subcutaneous administration, the biodegradable PLGA matrix would slowly hydrolyze, resulting in prolonged </w:t>
      </w:r>
      <w:proofErr w:type="spellStart"/>
      <w:r>
        <w:rPr>
          <w:sz w:val="24"/>
          <w:szCs w:val="24"/>
        </w:rPr>
        <w:t>emicizumab</w:t>
      </w:r>
      <w:proofErr w:type="spellEnd"/>
      <w:r>
        <w:rPr>
          <w:sz w:val="24"/>
          <w:szCs w:val="24"/>
        </w:rPr>
        <w:t xml:space="preserve"> release into systemic circulation</w:t>
      </w:r>
      <w:hyperlink r:id="rId26">
        <w:r>
          <w:rPr>
            <w:sz w:val="24"/>
            <w:szCs w:val="24"/>
            <w:vertAlign w:val="superscript"/>
          </w:rPr>
          <w:t>8</w:t>
        </w:r>
      </w:hyperlink>
      <w:r>
        <w:rPr>
          <w:sz w:val="24"/>
          <w:szCs w:val="24"/>
        </w:rPr>
        <w:t>. This controlled release profile is expected to produce lower peak plasma concentrations, reduced fluctuations, and more stable therapeutic drug concentrations over time compared to repeated bolus injections</w:t>
      </w:r>
      <w:hyperlink r:id="rId27">
        <w:r>
          <w:rPr>
            <w:sz w:val="24"/>
            <w:szCs w:val="24"/>
            <w:vertAlign w:val="superscript"/>
          </w:rPr>
          <w:t>8,11</w:t>
        </w:r>
      </w:hyperlink>
      <w:r>
        <w:rPr>
          <w:sz w:val="24"/>
          <w:szCs w:val="24"/>
        </w:rPr>
        <w:t>. Sustained plasma concentrations may also reduce the risk of subtherapeutic levels that could contribute to breakthrough bleeding episodes.</w:t>
      </w:r>
    </w:p>
    <w:p w14:paraId="00000018" w14:textId="77777777" w:rsidR="0057600A" w:rsidRDefault="00265D21">
      <w:pPr>
        <w:rPr>
          <w:sz w:val="24"/>
          <w:szCs w:val="24"/>
        </w:rPr>
      </w:pPr>
      <w:r>
        <w:rPr>
          <w:sz w:val="24"/>
          <w:szCs w:val="24"/>
        </w:rPr>
        <w:t xml:space="preserve">For an adult patient weighing 70 kg, the approved maintenance dose of </w:t>
      </w:r>
      <w:proofErr w:type="spellStart"/>
      <w:r>
        <w:rPr>
          <w:sz w:val="24"/>
          <w:szCs w:val="24"/>
        </w:rPr>
        <w:t>emicizumab</w:t>
      </w:r>
      <w:proofErr w:type="spellEnd"/>
      <w:r>
        <w:rPr>
          <w:sz w:val="24"/>
          <w:szCs w:val="24"/>
        </w:rPr>
        <w:t xml:space="preserve"> is 6 mg/kg every four weeks, translating to about 420 mg per month</w:t>
      </w:r>
      <w:hyperlink r:id="rId28">
        <w:r>
          <w:rPr>
            <w:sz w:val="24"/>
            <w:szCs w:val="24"/>
            <w:vertAlign w:val="superscript"/>
          </w:rPr>
          <w:t>4,12</w:t>
        </w:r>
      </w:hyperlink>
      <w:r>
        <w:rPr>
          <w:sz w:val="24"/>
          <w:szCs w:val="24"/>
        </w:rPr>
        <w:t xml:space="preserve">. A depot formulation designed for administration every three months would therefore require approximately 1,260 mg of </w:t>
      </w:r>
      <w:proofErr w:type="spellStart"/>
      <w:r>
        <w:rPr>
          <w:sz w:val="24"/>
          <w:szCs w:val="24"/>
        </w:rPr>
        <w:t>emicizumab</w:t>
      </w:r>
      <w:proofErr w:type="spellEnd"/>
      <w:r>
        <w:rPr>
          <w:sz w:val="24"/>
          <w:szCs w:val="24"/>
        </w:rPr>
        <w:t xml:space="preserve"> per injection, assuming equivalent overall drug exposure and bioavailability</w:t>
      </w:r>
      <w:hyperlink r:id="rId29">
        <w:r>
          <w:rPr>
            <w:sz w:val="24"/>
            <w:szCs w:val="24"/>
            <w:vertAlign w:val="superscript"/>
          </w:rPr>
          <w:t>4,13</w:t>
        </w:r>
      </w:hyperlink>
      <w:r>
        <w:rPr>
          <w:sz w:val="24"/>
          <w:szCs w:val="24"/>
        </w:rPr>
        <w:t xml:space="preserve">. Based on published pharmaceutical economic analyses, annual </w:t>
      </w:r>
      <w:proofErr w:type="spellStart"/>
      <w:r>
        <w:rPr>
          <w:sz w:val="24"/>
          <w:szCs w:val="24"/>
        </w:rPr>
        <w:t>Hemlibra</w:t>
      </w:r>
      <w:proofErr w:type="spellEnd"/>
      <w:r>
        <w:rPr>
          <w:sz w:val="24"/>
          <w:szCs w:val="24"/>
        </w:rPr>
        <w:t xml:space="preserve"> costs exceed $600,000 CAD per patient</w:t>
      </w:r>
      <w:hyperlink r:id="rId30">
        <w:r>
          <w:rPr>
            <w:sz w:val="24"/>
            <w:szCs w:val="24"/>
            <w:vertAlign w:val="superscript"/>
          </w:rPr>
          <w:t>13</w:t>
        </w:r>
      </w:hyperlink>
      <w:r>
        <w:rPr>
          <w:sz w:val="24"/>
          <w:szCs w:val="24"/>
        </w:rPr>
        <w:t>. Since the active drug would remain unchanged, annual acquisition costs would likely remain similar. However, additional costs associated with PLGA encapsulation, stability testing, and controlled-</w:t>
      </w:r>
      <w:r>
        <w:rPr>
          <w:sz w:val="24"/>
          <w:szCs w:val="24"/>
        </w:rPr>
        <w:lastRenderedPageBreak/>
        <w:t>release manufacturing would be expected to increase formulation costs</w:t>
      </w:r>
      <w:hyperlink r:id="rId31">
        <w:r>
          <w:rPr>
            <w:sz w:val="24"/>
            <w:szCs w:val="24"/>
            <w:vertAlign w:val="superscript"/>
          </w:rPr>
          <w:t>11</w:t>
        </w:r>
      </w:hyperlink>
      <w:r>
        <w:rPr>
          <w:sz w:val="24"/>
          <w:szCs w:val="24"/>
        </w:rPr>
        <w:t>. Conversely, reduced injection frequency and improved adherence could partially offset these expenses via decreased administration burden and reduced bleeding-related healthcare costs</w:t>
      </w:r>
      <w:hyperlink r:id="rId32">
        <w:r>
          <w:rPr>
            <w:sz w:val="24"/>
            <w:szCs w:val="24"/>
            <w:vertAlign w:val="superscript"/>
          </w:rPr>
          <w:t>13,14</w:t>
        </w:r>
      </w:hyperlink>
      <w:r>
        <w:rPr>
          <w:sz w:val="24"/>
          <w:szCs w:val="24"/>
        </w:rPr>
        <w:t xml:space="preserve">. Since exact formulation-specific dosing data for depot </w:t>
      </w:r>
      <w:proofErr w:type="spellStart"/>
      <w:r>
        <w:rPr>
          <w:sz w:val="24"/>
          <w:szCs w:val="24"/>
        </w:rPr>
        <w:t>emicizumab</w:t>
      </w:r>
      <w:proofErr w:type="spellEnd"/>
      <w:r>
        <w:rPr>
          <w:sz w:val="24"/>
          <w:szCs w:val="24"/>
        </w:rPr>
        <w:t xml:space="preserve"> systems are not yet available in the literature, these estimates are based on current </w:t>
      </w:r>
      <w:proofErr w:type="spellStart"/>
      <w:r>
        <w:rPr>
          <w:sz w:val="24"/>
          <w:szCs w:val="24"/>
        </w:rPr>
        <w:t>Hemlibra</w:t>
      </w:r>
      <w:proofErr w:type="spellEnd"/>
      <w:r>
        <w:rPr>
          <w:sz w:val="24"/>
          <w:szCs w:val="24"/>
        </w:rPr>
        <w:t xml:space="preserve"> dosing regiments and published sustained-release biologic delivery systems</w:t>
      </w:r>
      <w:hyperlink r:id="rId33">
        <w:r>
          <w:rPr>
            <w:sz w:val="24"/>
            <w:szCs w:val="24"/>
            <w:vertAlign w:val="superscript"/>
          </w:rPr>
          <w:t>8,11</w:t>
        </w:r>
      </w:hyperlink>
      <w:r>
        <w:rPr>
          <w:sz w:val="24"/>
          <w:szCs w:val="24"/>
        </w:rPr>
        <w:t>.</w:t>
      </w:r>
    </w:p>
    <w:p w14:paraId="00000019" w14:textId="77777777" w:rsidR="0057600A" w:rsidRDefault="0057600A">
      <w:pPr>
        <w:spacing w:line="240" w:lineRule="auto"/>
        <w:rPr>
          <w:sz w:val="24"/>
          <w:szCs w:val="24"/>
        </w:rPr>
      </w:pPr>
    </w:p>
    <w:p w14:paraId="0000001A" w14:textId="77777777" w:rsidR="0057600A" w:rsidRDefault="00265D21">
      <w:pPr>
        <w:spacing w:line="240" w:lineRule="auto"/>
        <w:rPr>
          <w:sz w:val="24"/>
          <w:szCs w:val="24"/>
          <w:u w:val="single"/>
        </w:rPr>
      </w:pPr>
      <w:r>
        <w:rPr>
          <w:sz w:val="24"/>
          <w:szCs w:val="24"/>
          <w:u w:val="single"/>
        </w:rPr>
        <w:t>Patient and Physician Acceptance</w:t>
      </w:r>
    </w:p>
    <w:p w14:paraId="0000001B" w14:textId="77777777" w:rsidR="0057600A" w:rsidRDefault="00265D21">
      <w:pPr>
        <w:spacing w:line="240" w:lineRule="auto"/>
        <w:rPr>
          <w:sz w:val="24"/>
          <w:szCs w:val="24"/>
        </w:rPr>
      </w:pPr>
      <w:r>
        <w:rPr>
          <w:sz w:val="24"/>
          <w:szCs w:val="24"/>
        </w:rPr>
        <w:t>Extending the dosing interval to every two or three months through a sustained-release depot system could improve adherence</w:t>
      </w:r>
      <w:hyperlink r:id="rId34">
        <w:r>
          <w:rPr>
            <w:sz w:val="24"/>
            <w:szCs w:val="24"/>
            <w:vertAlign w:val="superscript"/>
          </w:rPr>
          <w:t>14</w:t>
        </w:r>
      </w:hyperlink>
      <w:r>
        <w:rPr>
          <w:sz w:val="24"/>
          <w:szCs w:val="24"/>
        </w:rPr>
        <w:t>. Sustained plasma concentrations could reduce the likelihood of missed doses and breakthrough bleeding events caused by reduced drug levels between injections</w:t>
      </w:r>
      <w:hyperlink r:id="rId35">
        <w:r>
          <w:rPr>
            <w:sz w:val="24"/>
            <w:szCs w:val="24"/>
            <w:vertAlign w:val="superscript"/>
          </w:rPr>
          <w:t>15</w:t>
        </w:r>
      </w:hyperlink>
      <w:r>
        <w:rPr>
          <w:sz w:val="24"/>
          <w:szCs w:val="24"/>
        </w:rPr>
        <w:t>. Reduced dosing frequency would likely improve the quality of life by decreasing therapy-related interruptions to daily activities and reducing anxiety associated with repeated injections</w:t>
      </w:r>
      <w:hyperlink r:id="rId36">
        <w:r>
          <w:rPr>
            <w:sz w:val="24"/>
            <w:szCs w:val="24"/>
            <w:vertAlign w:val="superscript"/>
          </w:rPr>
          <w:t>6,14</w:t>
        </w:r>
      </w:hyperlink>
      <w:r>
        <w:rPr>
          <w:sz w:val="24"/>
          <w:szCs w:val="24"/>
        </w:rPr>
        <w:t>.</w:t>
      </w:r>
    </w:p>
    <w:p w14:paraId="0000001C" w14:textId="77777777" w:rsidR="0057600A" w:rsidRDefault="00265D21">
      <w:pPr>
        <w:spacing w:line="240" w:lineRule="auto"/>
        <w:rPr>
          <w:sz w:val="24"/>
          <w:szCs w:val="24"/>
        </w:rPr>
      </w:pPr>
      <w:r>
        <w:rPr>
          <w:sz w:val="24"/>
          <w:szCs w:val="24"/>
        </w:rPr>
        <w:t>Physicians' acceptance of depot formulations may also be favorable due to the potential for improved adherence and more consistent therapeutic drug exposure</w:t>
      </w:r>
      <w:hyperlink r:id="rId37">
        <w:r>
          <w:rPr>
            <w:sz w:val="24"/>
            <w:szCs w:val="24"/>
            <w:vertAlign w:val="superscript"/>
          </w:rPr>
          <w:t>6</w:t>
        </w:r>
      </w:hyperlink>
      <w:r>
        <w:rPr>
          <w:sz w:val="24"/>
          <w:szCs w:val="24"/>
        </w:rPr>
        <w:t>. However, physicians may have concerns regarding dose flexibility and reversibility, since depot formulations cannot be rapidly removed once administered</w:t>
      </w:r>
      <w:hyperlink r:id="rId38">
        <w:r>
          <w:rPr>
            <w:sz w:val="24"/>
            <w:szCs w:val="24"/>
            <w:vertAlign w:val="superscript"/>
          </w:rPr>
          <w:t>11</w:t>
        </w:r>
      </w:hyperlink>
      <w:r>
        <w:rPr>
          <w:sz w:val="24"/>
          <w:szCs w:val="24"/>
        </w:rPr>
        <w:t>. Variability in polymer degradation and release kinetics may also require careful monitoring to ensure therapeutic efficacy across patients</w:t>
      </w:r>
      <w:hyperlink r:id="rId39">
        <w:r>
          <w:rPr>
            <w:sz w:val="24"/>
            <w:szCs w:val="24"/>
            <w:vertAlign w:val="superscript"/>
          </w:rPr>
          <w:t>11</w:t>
        </w:r>
      </w:hyperlink>
      <w:r>
        <w:rPr>
          <w:sz w:val="24"/>
          <w:szCs w:val="24"/>
        </w:rPr>
        <w:t>. Additionally, due to monoclonal antibody depot systems remaining relatively uncommon, clinicians may initially be cautious regarding long-term safety, immunogenicity, and large-scale clinical reliability</w:t>
      </w:r>
      <w:hyperlink r:id="rId40">
        <w:r>
          <w:rPr>
            <w:sz w:val="24"/>
            <w:szCs w:val="24"/>
            <w:vertAlign w:val="superscript"/>
          </w:rPr>
          <w:t>11</w:t>
        </w:r>
      </w:hyperlink>
      <w:r>
        <w:rPr>
          <w:sz w:val="24"/>
          <w:szCs w:val="24"/>
        </w:rPr>
        <w:t>.</w:t>
      </w:r>
    </w:p>
    <w:p w14:paraId="0000001D" w14:textId="77777777" w:rsidR="0057600A" w:rsidRDefault="0057600A">
      <w:pPr>
        <w:spacing w:line="240" w:lineRule="auto"/>
        <w:rPr>
          <w:sz w:val="24"/>
          <w:szCs w:val="24"/>
        </w:rPr>
      </w:pPr>
    </w:p>
    <w:p w14:paraId="0000001E" w14:textId="77777777" w:rsidR="0057600A" w:rsidRDefault="00265D21">
      <w:pPr>
        <w:spacing w:line="240" w:lineRule="auto"/>
        <w:rPr>
          <w:b/>
          <w:bCs/>
          <w:sz w:val="24"/>
          <w:szCs w:val="24"/>
        </w:rPr>
      </w:pPr>
      <w:r>
        <w:rPr>
          <w:b/>
          <w:bCs/>
          <w:sz w:val="24"/>
          <w:szCs w:val="24"/>
        </w:rPr>
        <w:t>Alternate 2: Transdermal Dissolving Microneedle Patch Array</w:t>
      </w:r>
    </w:p>
    <w:p w14:paraId="0000001F" w14:textId="77777777" w:rsidR="0057600A" w:rsidRDefault="00265D21">
      <w:pPr>
        <w:spacing w:line="240" w:lineRule="auto"/>
        <w:rPr>
          <w:sz w:val="24"/>
          <w:szCs w:val="24"/>
        </w:rPr>
      </w:pPr>
      <w:r>
        <w:rPr>
          <w:sz w:val="24"/>
          <w:szCs w:val="24"/>
          <w:u w:val="single"/>
        </w:rPr>
        <w:t>Concept and Rationale</w:t>
      </w:r>
      <w:r>
        <w:rPr>
          <w:b/>
          <w:bCs/>
          <w:sz w:val="24"/>
          <w:szCs w:val="24"/>
        </w:rPr>
        <w:br/>
      </w:r>
      <w:r>
        <w:rPr>
          <w:sz w:val="24"/>
          <w:szCs w:val="24"/>
        </w:rPr>
        <w:t xml:space="preserve">Develop a dissolving microneedle patch for self-administration. Proposed materials: hyaluronic acid or PVP/PVA matrix, trehalose-stabilized </w:t>
      </w:r>
      <w:proofErr w:type="spellStart"/>
      <w:r>
        <w:rPr>
          <w:sz w:val="24"/>
          <w:szCs w:val="24"/>
        </w:rPr>
        <w:t>emicizumab</w:t>
      </w:r>
      <w:proofErr w:type="spellEnd"/>
      <w:r>
        <w:rPr>
          <w:sz w:val="24"/>
          <w:szCs w:val="24"/>
        </w:rPr>
        <w:t xml:space="preserve"> in the needle tips, 500–800 </w:t>
      </w:r>
      <w:proofErr w:type="spellStart"/>
      <w:r>
        <w:rPr>
          <w:sz w:val="24"/>
          <w:szCs w:val="24"/>
        </w:rPr>
        <w:t>μm</w:t>
      </w:r>
      <w:proofErr w:type="spellEnd"/>
      <w:r>
        <w:rPr>
          <w:sz w:val="24"/>
          <w:szCs w:val="24"/>
        </w:rPr>
        <w:t xml:space="preserve"> needle height, and a 5 × 5 cm patch. The selected patch size is based on the need to deliver a clinically relevant dose that corresponds to adult weekly requirements while allowing for the maximum practical payload capacity using current antibody microarray technology</w:t>
      </w:r>
      <w:hyperlink r:id="rId41">
        <w:r>
          <w:rPr>
            <w:sz w:val="24"/>
            <w:szCs w:val="24"/>
            <w:vertAlign w:val="superscript"/>
          </w:rPr>
          <w:t>16</w:t>
        </w:r>
      </w:hyperlink>
      <w:r>
        <w:rPr>
          <w:sz w:val="24"/>
          <w:szCs w:val="24"/>
        </w:rPr>
        <w:t xml:space="preserve">. The patch would bypass the stratum corneum and deposit </w:t>
      </w:r>
      <w:proofErr w:type="spellStart"/>
      <w:r>
        <w:rPr>
          <w:sz w:val="24"/>
          <w:szCs w:val="24"/>
        </w:rPr>
        <w:t>emicizumab</w:t>
      </w:r>
      <w:proofErr w:type="spellEnd"/>
      <w:r>
        <w:rPr>
          <w:sz w:val="24"/>
          <w:szCs w:val="24"/>
        </w:rPr>
        <w:t xml:space="preserve"> into the viable epidermis/dermis, where lymphatic uptake could support systemic absorption.</w:t>
      </w:r>
    </w:p>
    <w:p w14:paraId="00000020" w14:textId="77777777" w:rsidR="0057600A" w:rsidRDefault="00265D21">
      <w:pPr>
        <w:spacing w:line="240" w:lineRule="auto"/>
        <w:rPr>
          <w:sz w:val="24"/>
          <w:szCs w:val="24"/>
          <w:vertAlign w:val="superscript"/>
        </w:rPr>
      </w:pPr>
      <w:r>
        <w:rPr>
          <w:sz w:val="24"/>
          <w:szCs w:val="24"/>
        </w:rPr>
        <w:t xml:space="preserve">This route fits </w:t>
      </w:r>
      <w:proofErr w:type="spellStart"/>
      <w:r>
        <w:rPr>
          <w:sz w:val="24"/>
          <w:szCs w:val="24"/>
        </w:rPr>
        <w:t>emicizumab’s</w:t>
      </w:r>
      <w:proofErr w:type="spellEnd"/>
      <w:r>
        <w:rPr>
          <w:sz w:val="24"/>
          <w:szCs w:val="24"/>
        </w:rPr>
        <w:t xml:space="preserve"> antibody nature because it avoids oral degradation and does not require cell entry. Microneedle platforms are being developed for biologics, including antibodies</w:t>
      </w:r>
      <w:hyperlink r:id="rId42">
        <w:r>
          <w:rPr>
            <w:sz w:val="24"/>
            <w:szCs w:val="24"/>
            <w:vertAlign w:val="superscript"/>
          </w:rPr>
          <w:t>17</w:t>
        </w:r>
      </w:hyperlink>
      <w:r>
        <w:rPr>
          <w:sz w:val="24"/>
          <w:szCs w:val="24"/>
        </w:rPr>
        <w:t>, and a long-acting microarray patch strategy has demonstrated proof of concept for thermally stabilized antibody delivery with programmable release</w:t>
      </w:r>
      <w:hyperlink r:id="rId43">
        <w:r>
          <w:rPr>
            <w:sz w:val="24"/>
            <w:szCs w:val="24"/>
            <w:vertAlign w:val="superscript"/>
          </w:rPr>
          <w:t>16</w:t>
        </w:r>
      </w:hyperlink>
      <w:r>
        <w:rPr>
          <w:sz w:val="24"/>
          <w:szCs w:val="24"/>
        </w:rPr>
        <w:t>.</w:t>
      </w:r>
    </w:p>
    <w:p w14:paraId="00000021" w14:textId="77777777" w:rsidR="0057600A" w:rsidRDefault="0057600A">
      <w:pPr>
        <w:spacing w:line="240" w:lineRule="auto"/>
        <w:rPr>
          <w:sz w:val="24"/>
          <w:szCs w:val="24"/>
          <w:vertAlign w:val="superscript"/>
        </w:rPr>
      </w:pPr>
    </w:p>
    <w:p w14:paraId="00000022" w14:textId="77777777" w:rsidR="0057600A" w:rsidRDefault="00265D21">
      <w:pPr>
        <w:spacing w:line="240" w:lineRule="auto"/>
        <w:rPr>
          <w:sz w:val="24"/>
          <w:szCs w:val="24"/>
          <w:vertAlign w:val="superscript"/>
        </w:rPr>
      </w:pPr>
      <w:r>
        <w:rPr>
          <w:sz w:val="24"/>
          <w:szCs w:val="24"/>
          <w:u w:val="single"/>
        </w:rPr>
        <w:t>Dose, Schedule, and Cost Estimate</w:t>
      </w:r>
      <w:r>
        <w:rPr>
          <w:b/>
          <w:bCs/>
          <w:sz w:val="24"/>
          <w:szCs w:val="24"/>
        </w:rPr>
        <w:br/>
      </w:r>
      <w:r>
        <w:rPr>
          <w:sz w:val="24"/>
          <w:szCs w:val="24"/>
        </w:rPr>
        <w:t xml:space="preserve">Because </w:t>
      </w:r>
      <w:proofErr w:type="spellStart"/>
      <w:r>
        <w:rPr>
          <w:sz w:val="24"/>
          <w:szCs w:val="24"/>
        </w:rPr>
        <w:t>emicizumab</w:t>
      </w:r>
      <w:proofErr w:type="spellEnd"/>
      <w:r>
        <w:rPr>
          <w:sz w:val="24"/>
          <w:szCs w:val="24"/>
        </w:rPr>
        <w:t xml:space="preserve"> is a high dose for a patch product, dose capacity is the limiting factor. Published antibody microarray work reports approximately 4.5 mg/cm² IgG loading in a 1 × 1 cm patch using powder filling</w:t>
      </w:r>
      <w:hyperlink r:id="rId44">
        <w:r>
          <w:rPr>
            <w:sz w:val="24"/>
            <w:szCs w:val="24"/>
            <w:vertAlign w:val="superscript"/>
          </w:rPr>
          <w:t>16</w:t>
        </w:r>
      </w:hyperlink>
      <w:r>
        <w:rPr>
          <w:sz w:val="24"/>
          <w:szCs w:val="24"/>
        </w:rPr>
        <w:t>. A 25 cm² patch would therefore carry roughly 112 mg before delivery losses, which is close to the 105 mg weekly dose for a 70 kg adult</w:t>
      </w:r>
      <w:hyperlink r:id="rId45">
        <w:r>
          <w:rPr>
            <w:sz w:val="24"/>
            <w:szCs w:val="24"/>
            <w:vertAlign w:val="superscript"/>
          </w:rPr>
          <w:t>12,18</w:t>
        </w:r>
      </w:hyperlink>
      <w:r>
        <w:rPr>
          <w:sz w:val="24"/>
          <w:szCs w:val="24"/>
        </w:rPr>
        <w:t>.</w:t>
      </w:r>
    </w:p>
    <w:p w14:paraId="00000023" w14:textId="77777777" w:rsidR="0057600A" w:rsidRDefault="00265D21">
      <w:pPr>
        <w:spacing w:line="240" w:lineRule="auto"/>
        <w:rPr>
          <w:sz w:val="24"/>
          <w:szCs w:val="24"/>
        </w:rPr>
      </w:pPr>
      <w:r>
        <w:rPr>
          <w:sz w:val="24"/>
          <w:szCs w:val="24"/>
        </w:rPr>
        <w:t xml:space="preserve">Proposed schedule: </w:t>
      </w:r>
      <w:r>
        <w:rPr>
          <w:b/>
          <w:bCs/>
          <w:sz w:val="24"/>
          <w:szCs w:val="24"/>
        </w:rPr>
        <w:t>one 5 × 5 cm patch weekly</w:t>
      </w:r>
      <w:r>
        <w:rPr>
          <w:sz w:val="24"/>
          <w:szCs w:val="24"/>
        </w:rPr>
        <w:t>.</w:t>
      </w:r>
    </w:p>
    <w:p w14:paraId="00000024" w14:textId="77777777" w:rsidR="0057600A" w:rsidRDefault="00265D21">
      <w:pPr>
        <w:numPr>
          <w:ilvl w:val="0"/>
          <w:numId w:val="1"/>
        </w:numPr>
        <w:spacing w:before="240" w:line="240" w:lineRule="auto"/>
        <w:rPr>
          <w:sz w:val="24"/>
          <w:szCs w:val="24"/>
        </w:rPr>
      </w:pPr>
      <w:r>
        <w:rPr>
          <w:sz w:val="24"/>
          <w:szCs w:val="24"/>
        </w:rPr>
        <w:t xml:space="preserve">Clinical target = 105 mg/week delivered </w:t>
      </w:r>
      <w:hyperlink r:id="rId46">
        <w:r>
          <w:rPr>
            <w:sz w:val="24"/>
            <w:szCs w:val="24"/>
            <w:vertAlign w:val="superscript"/>
          </w:rPr>
          <w:t>12</w:t>
        </w:r>
      </w:hyperlink>
    </w:p>
    <w:p w14:paraId="00000025" w14:textId="77777777" w:rsidR="0057600A" w:rsidRDefault="00265D21">
      <w:pPr>
        <w:numPr>
          <w:ilvl w:val="0"/>
          <w:numId w:val="1"/>
        </w:numPr>
        <w:spacing w:line="240" w:lineRule="auto"/>
        <w:rPr>
          <w:sz w:val="24"/>
          <w:szCs w:val="24"/>
        </w:rPr>
      </w:pPr>
      <w:r>
        <w:rPr>
          <w:sz w:val="24"/>
          <w:szCs w:val="24"/>
        </w:rPr>
        <w:t xml:space="preserve">Assume 90% delivery efficiency </w:t>
      </w:r>
      <w:hyperlink r:id="rId47">
        <w:r>
          <w:rPr>
            <w:sz w:val="24"/>
            <w:szCs w:val="24"/>
            <w:vertAlign w:val="superscript"/>
          </w:rPr>
          <w:t>17</w:t>
        </w:r>
      </w:hyperlink>
    </w:p>
    <w:p w14:paraId="00000026" w14:textId="77777777" w:rsidR="0057600A" w:rsidRDefault="00265D21">
      <w:pPr>
        <w:numPr>
          <w:ilvl w:val="0"/>
          <w:numId w:val="1"/>
        </w:numPr>
        <w:spacing w:line="240" w:lineRule="auto"/>
        <w:rPr>
          <w:sz w:val="24"/>
          <w:szCs w:val="24"/>
        </w:rPr>
      </w:pPr>
      <w:r>
        <w:rPr>
          <w:sz w:val="24"/>
          <w:szCs w:val="24"/>
        </w:rPr>
        <w:t>Required loaded dose = 105 mg / 0.90 = 117 mg/week</w:t>
      </w:r>
    </w:p>
    <w:p w14:paraId="00000027" w14:textId="77777777" w:rsidR="0057600A" w:rsidRDefault="00265D21">
      <w:pPr>
        <w:numPr>
          <w:ilvl w:val="0"/>
          <w:numId w:val="1"/>
        </w:numPr>
        <w:spacing w:line="240" w:lineRule="auto"/>
        <w:rPr>
          <w:sz w:val="24"/>
          <w:szCs w:val="24"/>
        </w:rPr>
      </w:pPr>
      <w:r>
        <w:rPr>
          <w:sz w:val="24"/>
          <w:szCs w:val="24"/>
        </w:rPr>
        <w:t>Annual loaded dose = 117 mg/week × 52 = 6,067 mg/year</w:t>
      </w:r>
    </w:p>
    <w:p w14:paraId="00000028" w14:textId="77777777" w:rsidR="0057600A" w:rsidRDefault="00265D21">
      <w:pPr>
        <w:numPr>
          <w:ilvl w:val="0"/>
          <w:numId w:val="1"/>
        </w:numPr>
        <w:spacing w:line="240" w:lineRule="auto"/>
        <w:rPr>
          <w:sz w:val="24"/>
          <w:szCs w:val="24"/>
        </w:rPr>
      </w:pPr>
      <w:r>
        <w:rPr>
          <w:sz w:val="24"/>
          <w:szCs w:val="24"/>
        </w:rPr>
        <w:t xml:space="preserve">API-equivalent cost = 6,067 mg × $122.05/mg = ~$740,437/year </w:t>
      </w:r>
      <w:hyperlink r:id="rId48">
        <w:r>
          <w:rPr>
            <w:sz w:val="24"/>
            <w:szCs w:val="24"/>
            <w:vertAlign w:val="superscript"/>
          </w:rPr>
          <w:t>19</w:t>
        </w:r>
      </w:hyperlink>
    </w:p>
    <w:p w14:paraId="00000029" w14:textId="77777777" w:rsidR="0057600A" w:rsidRDefault="00265D21">
      <w:pPr>
        <w:numPr>
          <w:ilvl w:val="0"/>
          <w:numId w:val="1"/>
        </w:numPr>
        <w:spacing w:line="240" w:lineRule="auto"/>
        <w:rPr>
          <w:sz w:val="24"/>
          <w:szCs w:val="24"/>
        </w:rPr>
      </w:pPr>
      <w:r>
        <w:rPr>
          <w:sz w:val="24"/>
          <w:szCs w:val="24"/>
        </w:rPr>
        <w:t>Add $100/patch device and packaging cost × 52 = $5,200/year</w:t>
      </w:r>
    </w:p>
    <w:p w14:paraId="0000002A" w14:textId="77777777" w:rsidR="0057600A" w:rsidRDefault="00265D21">
      <w:pPr>
        <w:numPr>
          <w:ilvl w:val="0"/>
          <w:numId w:val="1"/>
        </w:numPr>
        <w:spacing w:line="240" w:lineRule="auto"/>
        <w:rPr>
          <w:sz w:val="24"/>
          <w:szCs w:val="24"/>
        </w:rPr>
      </w:pPr>
      <w:r>
        <w:rPr>
          <w:sz w:val="24"/>
          <w:szCs w:val="24"/>
        </w:rPr>
        <w:t xml:space="preserve">Estimated annual cost = ~$746,000/year </w:t>
      </w:r>
      <w:hyperlink r:id="rId49">
        <w:r>
          <w:rPr>
            <w:sz w:val="24"/>
            <w:szCs w:val="24"/>
            <w:vertAlign w:val="superscript"/>
          </w:rPr>
          <w:t>19</w:t>
        </w:r>
      </w:hyperlink>
    </w:p>
    <w:p w14:paraId="0000002B" w14:textId="77777777" w:rsidR="0057600A" w:rsidRDefault="0057600A">
      <w:pPr>
        <w:spacing w:line="240" w:lineRule="auto"/>
        <w:rPr>
          <w:b/>
          <w:bCs/>
          <w:sz w:val="24"/>
          <w:szCs w:val="24"/>
        </w:rPr>
      </w:pPr>
    </w:p>
    <w:p w14:paraId="0000002C" w14:textId="77777777" w:rsidR="0057600A" w:rsidRDefault="00265D21">
      <w:pPr>
        <w:spacing w:line="240" w:lineRule="auto"/>
        <w:rPr>
          <w:sz w:val="24"/>
          <w:szCs w:val="24"/>
        </w:rPr>
      </w:pPr>
      <w:r>
        <w:rPr>
          <w:sz w:val="24"/>
          <w:szCs w:val="24"/>
          <w:u w:val="single"/>
        </w:rPr>
        <w:lastRenderedPageBreak/>
        <w:t>Expected Pharmacokinetic Performance</w:t>
      </w:r>
      <w:r>
        <w:rPr>
          <w:b/>
          <w:bCs/>
          <w:sz w:val="24"/>
          <w:szCs w:val="24"/>
        </w:rPr>
        <w:br/>
      </w:r>
      <w:r>
        <w:rPr>
          <w:sz w:val="24"/>
          <w:szCs w:val="24"/>
        </w:rPr>
        <w:t>Expected absorption would be faster than the current subcutaneous injection but would still be governed by lymphatic uptake and IgG catabolism. Half-life should remain close to the current 26.9 days after systemic absorption</w:t>
      </w:r>
      <w:hyperlink r:id="rId50">
        <w:r>
          <w:rPr>
            <w:sz w:val="24"/>
            <w:szCs w:val="24"/>
            <w:vertAlign w:val="superscript"/>
          </w:rPr>
          <w:t>19</w:t>
        </w:r>
      </w:hyperlink>
      <w:r>
        <w:rPr>
          <w:sz w:val="24"/>
          <w:szCs w:val="24"/>
        </w:rPr>
        <w:t xml:space="preserve">. </w:t>
      </w:r>
      <w:r>
        <w:rPr>
          <w:sz w:val="24"/>
          <w:szCs w:val="24"/>
          <w:vertAlign w:val="superscript"/>
        </w:rPr>
        <w:t xml:space="preserve"> </w:t>
      </w:r>
      <w:r>
        <w:rPr>
          <w:sz w:val="24"/>
          <w:szCs w:val="24"/>
        </w:rPr>
        <w:t xml:space="preserve">With weekly dosing and 70–90% bioavailability, troughs could remain near 45–50 </w:t>
      </w:r>
      <w:proofErr w:type="spellStart"/>
      <w:r>
        <w:rPr>
          <w:sz w:val="24"/>
          <w:szCs w:val="24"/>
        </w:rPr>
        <w:t>μg</w:t>
      </w:r>
      <w:proofErr w:type="spellEnd"/>
      <w:r>
        <w:rPr>
          <w:sz w:val="24"/>
          <w:szCs w:val="24"/>
        </w:rPr>
        <w:t>/mL, but incomplete patch insertion or patch detachment could cause underdosing</w:t>
      </w:r>
      <w:hyperlink r:id="rId51">
        <w:r>
          <w:rPr>
            <w:sz w:val="24"/>
            <w:szCs w:val="24"/>
            <w:vertAlign w:val="superscript"/>
          </w:rPr>
          <w:t>18,19</w:t>
        </w:r>
      </w:hyperlink>
      <w:r>
        <w:rPr>
          <w:sz w:val="24"/>
          <w:szCs w:val="24"/>
        </w:rPr>
        <w:t>.</w:t>
      </w:r>
    </w:p>
    <w:p w14:paraId="0000002D" w14:textId="77777777" w:rsidR="0057600A" w:rsidRDefault="0057600A">
      <w:pPr>
        <w:spacing w:line="240" w:lineRule="auto"/>
        <w:rPr>
          <w:sz w:val="24"/>
          <w:szCs w:val="24"/>
        </w:rPr>
      </w:pPr>
    </w:p>
    <w:p w14:paraId="0000002E" w14:textId="77777777" w:rsidR="0057600A" w:rsidRDefault="00265D21">
      <w:pPr>
        <w:spacing w:line="240" w:lineRule="auto"/>
        <w:rPr>
          <w:sz w:val="24"/>
          <w:szCs w:val="24"/>
        </w:rPr>
      </w:pPr>
      <w:r>
        <w:rPr>
          <w:sz w:val="24"/>
          <w:szCs w:val="24"/>
          <w:u w:val="single"/>
        </w:rPr>
        <w:t>Acceptance and Adoption</w:t>
      </w:r>
      <w:r>
        <w:rPr>
          <w:b/>
          <w:bCs/>
          <w:sz w:val="24"/>
          <w:szCs w:val="24"/>
        </w:rPr>
        <w:br/>
      </w:r>
      <w:r>
        <w:rPr>
          <w:sz w:val="24"/>
          <w:szCs w:val="24"/>
        </w:rPr>
        <w:t xml:space="preserve">Patient acceptance could be excellent for children, needle-averse patients, and patients who dislike injections. However, current </w:t>
      </w:r>
      <w:proofErr w:type="spellStart"/>
      <w:r>
        <w:rPr>
          <w:sz w:val="24"/>
          <w:szCs w:val="24"/>
        </w:rPr>
        <w:t>emicizumab</w:t>
      </w:r>
      <w:proofErr w:type="spellEnd"/>
      <w:r>
        <w:rPr>
          <w:sz w:val="24"/>
          <w:szCs w:val="24"/>
        </w:rPr>
        <w:t xml:space="preserve"> already supports every-4-week subcutaneous dosing, so a weekly patch must be nearly painless, reliable, and very easy to use to justify switching</w:t>
      </w:r>
      <w:hyperlink r:id="rId52">
        <w:r>
          <w:rPr>
            <w:sz w:val="24"/>
            <w:szCs w:val="24"/>
            <w:vertAlign w:val="superscript"/>
          </w:rPr>
          <w:t>12</w:t>
        </w:r>
      </w:hyperlink>
      <w:r>
        <w:rPr>
          <w:sz w:val="24"/>
          <w:szCs w:val="24"/>
        </w:rPr>
        <w:t>. Physician adoption would depend on demonstrated complete dose delivery, skin tolerability, and low immunogenicity.</w:t>
      </w:r>
    </w:p>
    <w:p w14:paraId="0000002F" w14:textId="77777777" w:rsidR="0057600A" w:rsidRDefault="0057600A">
      <w:pPr>
        <w:spacing w:line="240" w:lineRule="auto"/>
        <w:rPr>
          <w:sz w:val="24"/>
          <w:szCs w:val="24"/>
        </w:rPr>
      </w:pPr>
    </w:p>
    <w:p w14:paraId="00000030" w14:textId="77777777" w:rsidR="0057600A" w:rsidRDefault="00265D21">
      <w:pPr>
        <w:spacing w:line="240" w:lineRule="auto"/>
        <w:rPr>
          <w:sz w:val="24"/>
          <w:szCs w:val="24"/>
        </w:rPr>
      </w:pPr>
      <w:r>
        <w:rPr>
          <w:sz w:val="24"/>
          <w:szCs w:val="24"/>
          <w:u w:val="single"/>
        </w:rPr>
        <w:t>Additional factors</w:t>
      </w:r>
      <w:r>
        <w:rPr>
          <w:b/>
          <w:bCs/>
          <w:sz w:val="24"/>
          <w:szCs w:val="24"/>
        </w:rPr>
        <w:br/>
      </w:r>
      <w:r>
        <w:rPr>
          <w:sz w:val="24"/>
          <w:szCs w:val="24"/>
        </w:rPr>
        <w:t>This is a drug-device combination product with challenging manufacturing requirements: dose uniformity, mechanical strength, moisture control, solid-state antibody stability, and reliable insertion across skin types</w:t>
      </w:r>
      <w:hyperlink r:id="rId53">
        <w:r>
          <w:rPr>
            <w:sz w:val="24"/>
            <w:szCs w:val="24"/>
            <w:vertAlign w:val="superscript"/>
          </w:rPr>
          <w:t>20</w:t>
        </w:r>
      </w:hyperlink>
      <w:r>
        <w:rPr>
          <w:sz w:val="24"/>
          <w:szCs w:val="24"/>
        </w:rPr>
        <w:t xml:space="preserve">. </w:t>
      </w:r>
      <w:r>
        <w:rPr>
          <w:sz w:val="24"/>
          <w:szCs w:val="24"/>
          <w:vertAlign w:val="superscript"/>
        </w:rPr>
        <w:t xml:space="preserve"> </w:t>
      </w:r>
      <w:r>
        <w:rPr>
          <w:sz w:val="24"/>
          <w:szCs w:val="24"/>
        </w:rPr>
        <w:t xml:space="preserve">The largest commercial weakness is that a monthly </w:t>
      </w:r>
      <w:proofErr w:type="spellStart"/>
      <w:r>
        <w:rPr>
          <w:sz w:val="24"/>
          <w:szCs w:val="24"/>
        </w:rPr>
        <w:t>emicizumab</w:t>
      </w:r>
      <w:proofErr w:type="spellEnd"/>
      <w:r>
        <w:rPr>
          <w:sz w:val="24"/>
          <w:szCs w:val="24"/>
        </w:rPr>
        <w:t>-equivalent patch would require roughly four times the weekly payload and would likely be too large or require multiple patches.</w:t>
      </w:r>
    </w:p>
    <w:p w14:paraId="00000031" w14:textId="77777777" w:rsidR="0057600A" w:rsidRDefault="0057600A">
      <w:pPr>
        <w:spacing w:line="240" w:lineRule="auto"/>
        <w:rPr>
          <w:sz w:val="24"/>
          <w:szCs w:val="24"/>
        </w:rPr>
      </w:pPr>
    </w:p>
    <w:p w14:paraId="00000032" w14:textId="77777777" w:rsidR="0057600A" w:rsidRDefault="00265D21">
      <w:pPr>
        <w:spacing w:line="240" w:lineRule="auto"/>
        <w:rPr>
          <w:b/>
          <w:bCs/>
          <w:sz w:val="24"/>
          <w:szCs w:val="24"/>
        </w:rPr>
      </w:pPr>
      <w:r>
        <w:rPr>
          <w:b/>
          <w:bCs/>
          <w:sz w:val="24"/>
          <w:szCs w:val="24"/>
        </w:rPr>
        <w:t xml:space="preserve">Alternate 3: Intramuscular Injection of </w:t>
      </w:r>
      <w:proofErr w:type="spellStart"/>
      <w:r>
        <w:rPr>
          <w:b/>
          <w:bCs/>
          <w:sz w:val="24"/>
          <w:szCs w:val="24"/>
        </w:rPr>
        <w:t>Emicizumab</w:t>
      </w:r>
      <w:proofErr w:type="spellEnd"/>
      <w:r>
        <w:rPr>
          <w:b/>
          <w:bCs/>
          <w:sz w:val="24"/>
          <w:szCs w:val="24"/>
        </w:rPr>
        <w:t>-</w:t>
      </w:r>
      <w:proofErr w:type="spellStart"/>
      <w:r>
        <w:rPr>
          <w:b/>
          <w:bCs/>
          <w:sz w:val="24"/>
          <w:szCs w:val="24"/>
        </w:rPr>
        <w:t>kxwh</w:t>
      </w:r>
      <w:proofErr w:type="spellEnd"/>
      <w:r>
        <w:rPr>
          <w:b/>
          <w:bCs/>
          <w:sz w:val="24"/>
          <w:szCs w:val="24"/>
        </w:rPr>
        <w:t>-Encoding Plasmids</w:t>
      </w:r>
    </w:p>
    <w:p w14:paraId="00000033" w14:textId="77777777" w:rsidR="0057600A" w:rsidRDefault="00265D21">
      <w:pPr>
        <w:spacing w:line="240" w:lineRule="auto"/>
        <w:rPr>
          <w:sz w:val="24"/>
          <w:szCs w:val="24"/>
          <w:u w:val="single"/>
        </w:rPr>
      </w:pPr>
      <w:r>
        <w:rPr>
          <w:sz w:val="24"/>
          <w:szCs w:val="24"/>
          <w:u w:val="single"/>
        </w:rPr>
        <w:t>Administration and Formulation</w:t>
      </w:r>
    </w:p>
    <w:p w14:paraId="00000034" w14:textId="77777777" w:rsidR="0057600A" w:rsidRDefault="00265D21">
      <w:pPr>
        <w:spacing w:line="240" w:lineRule="auto"/>
        <w:rPr>
          <w:sz w:val="24"/>
          <w:szCs w:val="24"/>
        </w:rPr>
      </w:pPr>
      <w:r>
        <w:rPr>
          <w:sz w:val="24"/>
          <w:szCs w:val="24"/>
        </w:rPr>
        <w:t>The proposed idea is the intramuscular injection of plasmid DNA (</w:t>
      </w:r>
      <w:proofErr w:type="spellStart"/>
      <w:r>
        <w:rPr>
          <w:sz w:val="24"/>
          <w:szCs w:val="24"/>
        </w:rPr>
        <w:t>pDNA</w:t>
      </w:r>
      <w:proofErr w:type="spellEnd"/>
      <w:r>
        <w:rPr>
          <w:sz w:val="24"/>
          <w:szCs w:val="24"/>
        </w:rPr>
        <w:t xml:space="preserve">) encoding for heavy and light chains of </w:t>
      </w:r>
      <w:proofErr w:type="spellStart"/>
      <w:r>
        <w:rPr>
          <w:sz w:val="24"/>
          <w:szCs w:val="24"/>
        </w:rPr>
        <w:t>emicizumab-kxwh</w:t>
      </w:r>
      <w:proofErr w:type="spellEnd"/>
      <w:r>
        <w:rPr>
          <w:sz w:val="24"/>
          <w:szCs w:val="24"/>
        </w:rPr>
        <w:t>, a monoclonal antibody (</w:t>
      </w:r>
      <w:proofErr w:type="spellStart"/>
      <w:r>
        <w:rPr>
          <w:sz w:val="24"/>
          <w:szCs w:val="24"/>
        </w:rPr>
        <w:t>mAb</w:t>
      </w:r>
      <w:proofErr w:type="spellEnd"/>
      <w:r>
        <w:rPr>
          <w:sz w:val="24"/>
          <w:szCs w:val="24"/>
        </w:rPr>
        <w:t>) paired with electroporation at the treatment site. For a 60 kg adult, a standard injection would take place at the deltoid with a 25 mm needle, but the site and needle gauge may change depending on the patient</w:t>
      </w:r>
      <w:hyperlink r:id="rId54">
        <w:r>
          <w:rPr>
            <w:sz w:val="24"/>
            <w:szCs w:val="24"/>
            <w:vertAlign w:val="superscript"/>
          </w:rPr>
          <w:t>21</w:t>
        </w:r>
      </w:hyperlink>
      <w:r>
        <w:rPr>
          <w:sz w:val="24"/>
          <w:szCs w:val="24"/>
        </w:rPr>
        <w:t xml:space="preserve">. Intramuscular </w:t>
      </w:r>
      <w:proofErr w:type="spellStart"/>
      <w:r>
        <w:rPr>
          <w:sz w:val="24"/>
          <w:szCs w:val="24"/>
        </w:rPr>
        <w:t>pDNA</w:t>
      </w:r>
      <w:proofErr w:type="spellEnd"/>
      <w:r>
        <w:rPr>
          <w:sz w:val="24"/>
          <w:szCs w:val="24"/>
        </w:rPr>
        <w:t xml:space="preserve"> injection was chosen as a feasible treatment alternative due to its potential as a long-term treatment method without requiring a rigorous dosage schedule. In the ideal case, enough </w:t>
      </w:r>
      <w:proofErr w:type="spellStart"/>
      <w:r>
        <w:rPr>
          <w:sz w:val="24"/>
          <w:szCs w:val="24"/>
        </w:rPr>
        <w:t>pDNA</w:t>
      </w:r>
      <w:proofErr w:type="spellEnd"/>
      <w:r>
        <w:rPr>
          <w:sz w:val="24"/>
          <w:szCs w:val="24"/>
        </w:rPr>
        <w:t xml:space="preserve"> is delivered into cell nuclei such that </w:t>
      </w:r>
      <w:proofErr w:type="gramStart"/>
      <w:r>
        <w:rPr>
          <w:sz w:val="24"/>
          <w:szCs w:val="24"/>
        </w:rPr>
        <w:t>sufficient amounts of</w:t>
      </w:r>
      <w:proofErr w:type="gramEnd"/>
      <w:r>
        <w:rPr>
          <w:sz w:val="24"/>
          <w:szCs w:val="24"/>
        </w:rPr>
        <w:t xml:space="preserve"> </w:t>
      </w:r>
      <w:proofErr w:type="spellStart"/>
      <w:r>
        <w:rPr>
          <w:sz w:val="24"/>
          <w:szCs w:val="24"/>
        </w:rPr>
        <w:t>emicizumab</w:t>
      </w:r>
      <w:proofErr w:type="spellEnd"/>
      <w:r>
        <w:rPr>
          <w:sz w:val="24"/>
          <w:szCs w:val="24"/>
        </w:rPr>
        <w:t xml:space="preserve"> are produced by the body to treat the lack of natural FVIII production. Additionally, the use of </w:t>
      </w:r>
      <w:proofErr w:type="spellStart"/>
      <w:r>
        <w:rPr>
          <w:sz w:val="24"/>
          <w:szCs w:val="24"/>
        </w:rPr>
        <w:t>pDNA</w:t>
      </w:r>
      <w:proofErr w:type="spellEnd"/>
      <w:r>
        <w:rPr>
          <w:sz w:val="24"/>
          <w:szCs w:val="24"/>
        </w:rPr>
        <w:t xml:space="preserve"> would simplify product logistics due to its high stability at room temperature</w:t>
      </w:r>
      <w:hyperlink r:id="rId55">
        <w:r>
          <w:rPr>
            <w:sz w:val="24"/>
            <w:szCs w:val="24"/>
            <w:vertAlign w:val="superscript"/>
          </w:rPr>
          <w:t>22</w:t>
        </w:r>
      </w:hyperlink>
      <w:r>
        <w:rPr>
          <w:sz w:val="24"/>
          <w:szCs w:val="24"/>
        </w:rPr>
        <w:t xml:space="preserve">.This treatment method would also bypass many of the permeability and degradation problems associated with oral and respiratory delivery of large proteins such as </w:t>
      </w:r>
      <w:proofErr w:type="spellStart"/>
      <w:r>
        <w:rPr>
          <w:sz w:val="24"/>
          <w:szCs w:val="24"/>
        </w:rPr>
        <w:t>emicizumab</w:t>
      </w:r>
      <w:proofErr w:type="spellEnd"/>
      <w:r>
        <w:rPr>
          <w:sz w:val="24"/>
          <w:szCs w:val="24"/>
        </w:rPr>
        <w:t xml:space="preserve">. The purpose of the intramuscular electroporation is to create transient pores in the cell membrane for easier </w:t>
      </w:r>
      <w:proofErr w:type="spellStart"/>
      <w:r>
        <w:rPr>
          <w:sz w:val="24"/>
          <w:szCs w:val="24"/>
        </w:rPr>
        <w:t>pDNA</w:t>
      </w:r>
      <w:proofErr w:type="spellEnd"/>
      <w:r>
        <w:rPr>
          <w:sz w:val="24"/>
          <w:szCs w:val="24"/>
        </w:rPr>
        <w:t xml:space="preserve"> entry, which could increase gene expression up to two orders of magnitude depending on the drug dosage and electroporation treatment</w:t>
      </w:r>
      <w:hyperlink r:id="rId56">
        <w:r>
          <w:rPr>
            <w:sz w:val="24"/>
            <w:szCs w:val="24"/>
            <w:vertAlign w:val="superscript"/>
          </w:rPr>
          <w:t>22</w:t>
        </w:r>
      </w:hyperlink>
      <w:r>
        <w:rPr>
          <w:sz w:val="24"/>
          <w:szCs w:val="24"/>
        </w:rPr>
        <w:t>.</w:t>
      </w:r>
    </w:p>
    <w:p w14:paraId="00000035" w14:textId="77777777" w:rsidR="0057600A" w:rsidRDefault="0057600A">
      <w:pPr>
        <w:spacing w:line="240" w:lineRule="auto"/>
        <w:rPr>
          <w:sz w:val="24"/>
          <w:szCs w:val="24"/>
          <w:u w:val="single"/>
        </w:rPr>
      </w:pPr>
    </w:p>
    <w:p w14:paraId="00000036" w14:textId="77777777" w:rsidR="0057600A" w:rsidRDefault="00265D21">
      <w:pPr>
        <w:spacing w:line="240" w:lineRule="auto"/>
        <w:rPr>
          <w:sz w:val="24"/>
          <w:szCs w:val="24"/>
          <w:u w:val="single"/>
        </w:rPr>
      </w:pPr>
      <w:r>
        <w:rPr>
          <w:sz w:val="24"/>
          <w:szCs w:val="24"/>
          <w:u w:val="single"/>
        </w:rPr>
        <w:t>Dosage and Cost Estimation</w:t>
      </w:r>
    </w:p>
    <w:p w14:paraId="00000037" w14:textId="77777777" w:rsidR="0057600A" w:rsidRDefault="00265D21">
      <w:pPr>
        <w:spacing w:line="240" w:lineRule="auto"/>
        <w:rPr>
          <w:sz w:val="24"/>
          <w:szCs w:val="24"/>
        </w:rPr>
      </w:pPr>
      <w:r>
        <w:rPr>
          <w:sz w:val="24"/>
          <w:szCs w:val="24"/>
        </w:rPr>
        <w:t xml:space="preserve">Though there is a lack of literature about human </w:t>
      </w:r>
      <w:proofErr w:type="spellStart"/>
      <w:r>
        <w:rPr>
          <w:sz w:val="24"/>
          <w:szCs w:val="24"/>
        </w:rPr>
        <w:t>pDNA</w:t>
      </w:r>
      <w:proofErr w:type="spellEnd"/>
      <w:r>
        <w:rPr>
          <w:sz w:val="24"/>
          <w:szCs w:val="24"/>
        </w:rPr>
        <w:t xml:space="preserve">-based treatment, a study on </w:t>
      </w:r>
      <w:proofErr w:type="spellStart"/>
      <w:r>
        <w:rPr>
          <w:sz w:val="24"/>
          <w:szCs w:val="24"/>
        </w:rPr>
        <w:t>pDNA</w:t>
      </w:r>
      <w:proofErr w:type="spellEnd"/>
      <w:r>
        <w:rPr>
          <w:sz w:val="24"/>
          <w:szCs w:val="24"/>
        </w:rPr>
        <w:t xml:space="preserve"> treatment paired with electroporation on sheep found that a 1 mg </w:t>
      </w:r>
      <w:proofErr w:type="spellStart"/>
      <w:r>
        <w:rPr>
          <w:sz w:val="24"/>
          <w:szCs w:val="24"/>
        </w:rPr>
        <w:t>pDNA</w:t>
      </w:r>
      <w:proofErr w:type="spellEnd"/>
      <w:r>
        <w:rPr>
          <w:sz w:val="24"/>
          <w:szCs w:val="24"/>
        </w:rPr>
        <w:t xml:space="preserve"> injection caused no anti-drug antibodies and seemingly no adverse effects at that drug amount</w:t>
      </w:r>
      <w:hyperlink r:id="rId57">
        <w:r>
          <w:rPr>
            <w:sz w:val="24"/>
            <w:szCs w:val="24"/>
            <w:vertAlign w:val="superscript"/>
          </w:rPr>
          <w:t>22</w:t>
        </w:r>
      </w:hyperlink>
      <w:r>
        <w:rPr>
          <w:sz w:val="24"/>
          <w:szCs w:val="24"/>
        </w:rPr>
        <w:t xml:space="preserve">. The same study confirmed detectable </w:t>
      </w:r>
      <w:proofErr w:type="spellStart"/>
      <w:r>
        <w:rPr>
          <w:sz w:val="24"/>
          <w:szCs w:val="24"/>
        </w:rPr>
        <w:t>mAb</w:t>
      </w:r>
      <w:proofErr w:type="spellEnd"/>
      <w:r>
        <w:rPr>
          <w:sz w:val="24"/>
          <w:szCs w:val="24"/>
        </w:rPr>
        <w:t xml:space="preserve"> levels after 4-6 weeks of treatment administration</w:t>
      </w:r>
      <w:hyperlink r:id="rId58">
        <w:r>
          <w:rPr>
            <w:sz w:val="24"/>
            <w:szCs w:val="24"/>
            <w:vertAlign w:val="superscript"/>
          </w:rPr>
          <w:t>22</w:t>
        </w:r>
      </w:hyperlink>
      <w:r>
        <w:rPr>
          <w:sz w:val="24"/>
          <w:szCs w:val="24"/>
        </w:rPr>
        <w:t>. Assuming an average correction factor of 17 for sheep and 37 for a 60 kg adult human, the equivalent dose for humans would be 0.46 mg according to FDA industry guidelines</w:t>
      </w:r>
      <w:hyperlink r:id="rId59">
        <w:r>
          <w:rPr>
            <w:sz w:val="24"/>
            <w:szCs w:val="24"/>
            <w:vertAlign w:val="superscript"/>
          </w:rPr>
          <w:t>23</w:t>
        </w:r>
      </w:hyperlink>
      <w:r>
        <w:rPr>
          <w:sz w:val="24"/>
          <w:szCs w:val="24"/>
        </w:rPr>
        <w:t xml:space="preserve">. For intramuscular injections into the deltoid, a 1 mL volume of isotonic buffer such as saline with the </w:t>
      </w:r>
      <w:proofErr w:type="spellStart"/>
      <w:r>
        <w:rPr>
          <w:sz w:val="24"/>
          <w:szCs w:val="24"/>
        </w:rPr>
        <w:t>pDNA</w:t>
      </w:r>
      <w:proofErr w:type="spellEnd"/>
      <w:r>
        <w:rPr>
          <w:sz w:val="24"/>
          <w:szCs w:val="24"/>
        </w:rPr>
        <w:t xml:space="preserve"> dispersed throughout is a sufficient delivery vehicle</w:t>
      </w:r>
      <w:hyperlink r:id="rId60">
        <w:r>
          <w:rPr>
            <w:sz w:val="24"/>
            <w:szCs w:val="24"/>
            <w:vertAlign w:val="superscript"/>
          </w:rPr>
          <w:t>24</w:t>
        </w:r>
      </w:hyperlink>
      <w:r>
        <w:rPr>
          <w:sz w:val="24"/>
          <w:szCs w:val="24"/>
        </w:rPr>
        <w:t xml:space="preserve">. 20 g of GMP-purified bulk-production </w:t>
      </w:r>
      <w:proofErr w:type="spellStart"/>
      <w:r>
        <w:rPr>
          <w:sz w:val="24"/>
          <w:szCs w:val="24"/>
        </w:rPr>
        <w:t>pDNA</w:t>
      </w:r>
      <w:proofErr w:type="spellEnd"/>
      <w:r>
        <w:rPr>
          <w:sz w:val="24"/>
          <w:szCs w:val="24"/>
        </w:rPr>
        <w:t xml:space="preserve"> from ALTHEA Plasmid DNA was reported to be about $3.4 million, costing about $170,000 per gram or $78.20 per 0.46 mg</w:t>
      </w:r>
      <w:hyperlink r:id="rId61">
        <w:r>
          <w:rPr>
            <w:sz w:val="24"/>
            <w:szCs w:val="24"/>
            <w:vertAlign w:val="superscript"/>
          </w:rPr>
          <w:t>25</w:t>
        </w:r>
      </w:hyperlink>
      <w:r>
        <w:rPr>
          <w:sz w:val="24"/>
          <w:szCs w:val="24"/>
        </w:rPr>
        <w:t xml:space="preserve">. Current electroporation treatments revolve around skincare and cancer applications, so an accurate estimate for electroporation in a medical setting is not quite feasible. That puts the estimated cost and dosage to be one 1mL injection and electroporation treatment containing 0.46 mg of </w:t>
      </w:r>
      <w:proofErr w:type="spellStart"/>
      <w:r>
        <w:rPr>
          <w:sz w:val="24"/>
          <w:szCs w:val="24"/>
        </w:rPr>
        <w:t>pDNA</w:t>
      </w:r>
      <w:proofErr w:type="spellEnd"/>
      <w:r>
        <w:rPr>
          <w:sz w:val="24"/>
          <w:szCs w:val="24"/>
        </w:rPr>
        <w:t xml:space="preserve"> every 4-6 weeks with a cost of $78.20 per treatment. </w:t>
      </w:r>
    </w:p>
    <w:p w14:paraId="00000038" w14:textId="77777777" w:rsidR="0057600A" w:rsidRDefault="0057600A">
      <w:pPr>
        <w:spacing w:line="240" w:lineRule="auto"/>
        <w:rPr>
          <w:sz w:val="24"/>
          <w:szCs w:val="24"/>
        </w:rPr>
      </w:pPr>
    </w:p>
    <w:p w14:paraId="00000039" w14:textId="77777777" w:rsidR="0057600A" w:rsidRDefault="00265D21">
      <w:pPr>
        <w:spacing w:line="240" w:lineRule="auto"/>
        <w:rPr>
          <w:sz w:val="24"/>
          <w:szCs w:val="24"/>
          <w:u w:val="single"/>
        </w:rPr>
      </w:pPr>
      <w:r>
        <w:rPr>
          <w:sz w:val="24"/>
          <w:szCs w:val="24"/>
          <w:u w:val="single"/>
        </w:rPr>
        <w:lastRenderedPageBreak/>
        <w:t>Expected Pharmacokinetics</w:t>
      </w:r>
    </w:p>
    <w:p w14:paraId="0000003A" w14:textId="77777777" w:rsidR="0057600A" w:rsidRDefault="00265D21">
      <w:pPr>
        <w:spacing w:line="240" w:lineRule="auto"/>
        <w:rPr>
          <w:sz w:val="24"/>
          <w:szCs w:val="24"/>
        </w:rPr>
      </w:pPr>
      <w:r>
        <w:rPr>
          <w:sz w:val="24"/>
          <w:szCs w:val="24"/>
        </w:rPr>
        <w:t xml:space="preserve">The sheep study mentioned above reported robust </w:t>
      </w:r>
      <w:proofErr w:type="spellStart"/>
      <w:r>
        <w:rPr>
          <w:sz w:val="24"/>
          <w:szCs w:val="24"/>
        </w:rPr>
        <w:t>mAb</w:t>
      </w:r>
      <w:proofErr w:type="spellEnd"/>
      <w:r>
        <w:rPr>
          <w:sz w:val="24"/>
          <w:szCs w:val="24"/>
        </w:rPr>
        <w:t xml:space="preserve"> expression in a follow-up 6 weeks after the initial 1 mg </w:t>
      </w:r>
      <w:proofErr w:type="spellStart"/>
      <w:r>
        <w:rPr>
          <w:sz w:val="24"/>
          <w:szCs w:val="24"/>
        </w:rPr>
        <w:t>pDNA</w:t>
      </w:r>
      <w:proofErr w:type="spellEnd"/>
      <w:r>
        <w:rPr>
          <w:sz w:val="24"/>
          <w:szCs w:val="24"/>
        </w:rPr>
        <w:t xml:space="preserve"> intramuscular injection and electroporation treatment with serum concentrations increasing up until the </w:t>
      </w:r>
      <w:proofErr w:type="gramStart"/>
      <w:r>
        <w:rPr>
          <w:sz w:val="24"/>
          <w:szCs w:val="24"/>
        </w:rPr>
        <w:t>3 week</w:t>
      </w:r>
      <w:proofErr w:type="gramEnd"/>
      <w:r>
        <w:rPr>
          <w:sz w:val="24"/>
          <w:szCs w:val="24"/>
        </w:rPr>
        <w:t xml:space="preserve"> mark followed by stabilization</w:t>
      </w:r>
      <w:hyperlink r:id="rId62">
        <w:r>
          <w:rPr>
            <w:sz w:val="24"/>
            <w:szCs w:val="24"/>
            <w:vertAlign w:val="superscript"/>
          </w:rPr>
          <w:t>22</w:t>
        </w:r>
      </w:hyperlink>
      <w:r>
        <w:rPr>
          <w:sz w:val="24"/>
          <w:szCs w:val="24"/>
        </w:rPr>
        <w:t xml:space="preserve">. </w:t>
      </w:r>
      <w:proofErr w:type="spellStart"/>
      <w:r>
        <w:rPr>
          <w:sz w:val="24"/>
          <w:szCs w:val="24"/>
        </w:rPr>
        <w:t>Emicizumab</w:t>
      </w:r>
      <w:proofErr w:type="spellEnd"/>
      <w:r>
        <w:rPr>
          <w:sz w:val="24"/>
          <w:szCs w:val="24"/>
        </w:rPr>
        <w:t xml:space="preserve"> has an apparent volume of distribution of 10.4 L, a mean apparent clearance of 0.27 L/da, and a mean elimination apparent half-life of 26.9 +/- 9.1 days</w:t>
      </w:r>
      <w:hyperlink r:id="rId63">
        <w:r>
          <w:rPr>
            <w:sz w:val="24"/>
            <w:szCs w:val="24"/>
            <w:vertAlign w:val="superscript"/>
          </w:rPr>
          <w:t>19</w:t>
        </w:r>
      </w:hyperlink>
      <w:r>
        <w:rPr>
          <w:sz w:val="24"/>
          <w:szCs w:val="24"/>
        </w:rPr>
        <w:t>.</w:t>
      </w:r>
    </w:p>
    <w:p w14:paraId="0000003B" w14:textId="77777777" w:rsidR="0057600A" w:rsidRDefault="0057600A">
      <w:pPr>
        <w:spacing w:line="240" w:lineRule="auto"/>
        <w:rPr>
          <w:sz w:val="24"/>
          <w:szCs w:val="24"/>
        </w:rPr>
      </w:pPr>
    </w:p>
    <w:p w14:paraId="0000003C" w14:textId="77777777" w:rsidR="0057600A" w:rsidRDefault="00265D21">
      <w:pPr>
        <w:spacing w:line="240" w:lineRule="auto"/>
        <w:rPr>
          <w:sz w:val="24"/>
          <w:szCs w:val="24"/>
          <w:u w:val="single"/>
        </w:rPr>
      </w:pPr>
      <w:r>
        <w:rPr>
          <w:sz w:val="24"/>
          <w:szCs w:val="24"/>
          <w:u w:val="single"/>
        </w:rPr>
        <w:t>Expected patient acceptance/adherence and physician acceptance/adoption</w:t>
      </w:r>
    </w:p>
    <w:p w14:paraId="0000003D" w14:textId="77777777" w:rsidR="0057600A" w:rsidRDefault="00265D21">
      <w:pPr>
        <w:spacing w:line="240" w:lineRule="auto"/>
        <w:rPr>
          <w:sz w:val="24"/>
          <w:szCs w:val="24"/>
        </w:rPr>
      </w:pPr>
      <w:r>
        <w:rPr>
          <w:sz w:val="24"/>
          <w:szCs w:val="24"/>
        </w:rPr>
        <w:t xml:space="preserve">The raw production costs of the potential </w:t>
      </w:r>
      <w:proofErr w:type="spellStart"/>
      <w:r>
        <w:rPr>
          <w:sz w:val="24"/>
          <w:szCs w:val="24"/>
        </w:rPr>
        <w:t>pDNA</w:t>
      </w:r>
      <w:proofErr w:type="spellEnd"/>
      <w:r>
        <w:rPr>
          <w:sz w:val="24"/>
          <w:szCs w:val="24"/>
        </w:rPr>
        <w:t xml:space="preserve"> treatment may seem much lower than </w:t>
      </w:r>
      <w:proofErr w:type="spellStart"/>
      <w:r>
        <w:rPr>
          <w:sz w:val="24"/>
          <w:szCs w:val="24"/>
        </w:rPr>
        <w:t>Hemlibra’s</w:t>
      </w:r>
      <w:proofErr w:type="spellEnd"/>
      <w:r>
        <w:rPr>
          <w:sz w:val="24"/>
          <w:szCs w:val="24"/>
        </w:rPr>
        <w:t xml:space="preserve"> end cost, but it does not factor in mark-ups, insurance, etc. As a result, cost may not be a substantial advantage over available products. Patient adherence will be </w:t>
      </w:r>
      <w:proofErr w:type="gramStart"/>
      <w:r>
        <w:rPr>
          <w:sz w:val="24"/>
          <w:szCs w:val="24"/>
        </w:rPr>
        <w:t>similar to</w:t>
      </w:r>
      <w:proofErr w:type="gramEnd"/>
      <w:r>
        <w:rPr>
          <w:sz w:val="24"/>
          <w:szCs w:val="24"/>
        </w:rPr>
        <w:t xml:space="preserve"> the </w:t>
      </w:r>
      <w:proofErr w:type="spellStart"/>
      <w:r>
        <w:rPr>
          <w:sz w:val="24"/>
          <w:szCs w:val="24"/>
        </w:rPr>
        <w:t>Hemlibra</w:t>
      </w:r>
      <w:proofErr w:type="spellEnd"/>
      <w:r>
        <w:rPr>
          <w:sz w:val="24"/>
          <w:szCs w:val="24"/>
        </w:rPr>
        <w:t xml:space="preserve"> 6-week dosage schedule but acceptance from both patient and physician will be lower due to the added electroporation step, which requires training and could cause patient discomfort and side effects</w:t>
      </w:r>
      <w:hyperlink r:id="rId64">
        <w:r>
          <w:rPr>
            <w:sz w:val="24"/>
            <w:szCs w:val="24"/>
            <w:vertAlign w:val="superscript"/>
          </w:rPr>
          <w:t>26</w:t>
        </w:r>
      </w:hyperlink>
      <w:r>
        <w:rPr>
          <w:sz w:val="24"/>
          <w:szCs w:val="24"/>
        </w:rPr>
        <w:t>.</w:t>
      </w:r>
    </w:p>
    <w:p w14:paraId="0000003E" w14:textId="77777777" w:rsidR="0057600A" w:rsidRDefault="0057600A">
      <w:pPr>
        <w:spacing w:line="240" w:lineRule="auto"/>
        <w:ind w:left="504"/>
        <w:rPr>
          <w:sz w:val="24"/>
          <w:szCs w:val="24"/>
        </w:rPr>
      </w:pPr>
    </w:p>
    <w:p w14:paraId="0000003F" w14:textId="77777777" w:rsidR="0057600A" w:rsidRDefault="00265D21">
      <w:pPr>
        <w:spacing w:line="240" w:lineRule="auto"/>
        <w:ind w:left="504"/>
        <w:rPr>
          <w:b/>
          <w:bCs/>
          <w:sz w:val="24"/>
          <w:szCs w:val="24"/>
        </w:rPr>
      </w:pPr>
      <w:r>
        <w:rPr>
          <w:b/>
          <w:bCs/>
          <w:sz w:val="24"/>
          <w:szCs w:val="24"/>
        </w:rPr>
        <w:t>Conclusion and Recommendation</w:t>
      </w:r>
    </w:p>
    <w:p w14:paraId="00000040" w14:textId="77777777" w:rsidR="0057600A" w:rsidRDefault="00265D21">
      <w:pPr>
        <w:rPr>
          <w:sz w:val="24"/>
          <w:szCs w:val="24"/>
          <w:u w:val="single"/>
        </w:rPr>
      </w:pPr>
      <w:r>
        <w:rPr>
          <w:sz w:val="24"/>
          <w:szCs w:val="24"/>
          <w:u w:val="single"/>
        </w:rPr>
        <w:t xml:space="preserve">Comparison of Alternative Formulations </w:t>
      </w:r>
    </w:p>
    <w:p w14:paraId="00000041" w14:textId="77777777" w:rsidR="0057600A" w:rsidRDefault="00265D21">
      <w:pPr>
        <w:rPr>
          <w:sz w:val="24"/>
          <w:szCs w:val="24"/>
        </w:rPr>
      </w:pPr>
      <w:r>
        <w:rPr>
          <w:sz w:val="24"/>
          <w:szCs w:val="24"/>
        </w:rPr>
        <w:t xml:space="preserve">The three proposed delivery strategies each offer potential advantages over conventional </w:t>
      </w:r>
      <w:proofErr w:type="spellStart"/>
      <w:r>
        <w:rPr>
          <w:sz w:val="24"/>
          <w:szCs w:val="24"/>
        </w:rPr>
        <w:t>Hemlibra</w:t>
      </w:r>
      <w:proofErr w:type="spellEnd"/>
      <w:r>
        <w:rPr>
          <w:sz w:val="24"/>
          <w:szCs w:val="24"/>
        </w:rPr>
        <w:t xml:space="preserve"> administration but differ substantially in feasibility, patient acceptance, and innovation. The PLGA depot formulation offers the greatest likelihood of successful implementation because it preserves the current subcutaneous route while extending the dosing interval to about two to three months. However, it does not eliminate injections and faces challenges related to antibody stability during long-term release. The DNA-encoded antibody approach joggers the possibility of prolonged endogenous </w:t>
      </w:r>
      <w:proofErr w:type="spellStart"/>
      <w:r>
        <w:rPr>
          <w:sz w:val="24"/>
          <w:szCs w:val="24"/>
        </w:rPr>
        <w:t>emici</w:t>
      </w:r>
      <w:r>
        <w:rPr>
          <w:sz w:val="24"/>
          <w:szCs w:val="24"/>
        </w:rPr>
        <w:t>zumab</w:t>
      </w:r>
      <w:proofErr w:type="spellEnd"/>
      <w:r>
        <w:rPr>
          <w:sz w:val="24"/>
          <w:szCs w:val="24"/>
        </w:rPr>
        <w:t xml:space="preserve"> production and reduced dosing frequency, but it introduces significant regulatory, safety, and manufacturing uncertainties associated with gene therapies. In contrast, the microneedle patch provides a completely different administration route that eliminates conventional injections while maintaining the established mechanism of action of </w:t>
      </w:r>
      <w:proofErr w:type="spellStart"/>
      <w:r>
        <w:rPr>
          <w:sz w:val="24"/>
          <w:szCs w:val="24"/>
        </w:rPr>
        <w:t>emicizumab</w:t>
      </w:r>
      <w:proofErr w:type="spellEnd"/>
      <w:r>
        <w:rPr>
          <w:sz w:val="24"/>
          <w:szCs w:val="24"/>
        </w:rPr>
        <w:t>. Although challenges remain regarding dose loading and delivery efficiency, recent advantages in antibody-loaded microneedle systems suggest that these bar</w:t>
      </w:r>
      <w:r>
        <w:rPr>
          <w:sz w:val="24"/>
          <w:szCs w:val="24"/>
        </w:rPr>
        <w:t xml:space="preserve">riers may be addressable. The last treatment option is intramuscular </w:t>
      </w:r>
      <w:proofErr w:type="spellStart"/>
      <w:r>
        <w:rPr>
          <w:sz w:val="24"/>
          <w:szCs w:val="24"/>
        </w:rPr>
        <w:t>pDNA</w:t>
      </w:r>
      <w:proofErr w:type="spellEnd"/>
      <w:r>
        <w:rPr>
          <w:sz w:val="24"/>
          <w:szCs w:val="24"/>
        </w:rPr>
        <w:t xml:space="preserve"> injection to make the body temporarily capable of producing </w:t>
      </w:r>
      <w:proofErr w:type="spellStart"/>
      <w:r>
        <w:rPr>
          <w:sz w:val="24"/>
          <w:szCs w:val="24"/>
        </w:rPr>
        <w:t>emicizumab</w:t>
      </w:r>
      <w:proofErr w:type="spellEnd"/>
      <w:r>
        <w:rPr>
          <w:sz w:val="24"/>
          <w:szCs w:val="24"/>
        </w:rPr>
        <w:t xml:space="preserve">. Though it bypasses many of the challenges associated with permeability and degradation of large proteins through oral or respiratory pathways, the efficacy and safety within humans for this specific purpose remains largely unknown. </w:t>
      </w:r>
      <w:proofErr w:type="gramStart"/>
      <w:r>
        <w:rPr>
          <w:sz w:val="24"/>
          <w:szCs w:val="24"/>
        </w:rPr>
        <w:t>With that being said, this</w:t>
      </w:r>
      <w:proofErr w:type="gramEnd"/>
      <w:r>
        <w:rPr>
          <w:sz w:val="24"/>
          <w:szCs w:val="24"/>
        </w:rPr>
        <w:t xml:space="preserve"> is also a promising treatment method that could be more feasible in the future. </w:t>
      </w:r>
    </w:p>
    <w:p w14:paraId="00000042" w14:textId="77777777" w:rsidR="0057600A" w:rsidRDefault="0057600A">
      <w:pPr>
        <w:rPr>
          <w:sz w:val="24"/>
          <w:szCs w:val="24"/>
        </w:rPr>
      </w:pPr>
    </w:p>
    <w:p w14:paraId="00000043" w14:textId="77777777" w:rsidR="0057600A" w:rsidRDefault="00265D21">
      <w:pPr>
        <w:rPr>
          <w:sz w:val="24"/>
          <w:szCs w:val="24"/>
        </w:rPr>
      </w:pPr>
      <w:r>
        <w:rPr>
          <w:sz w:val="24"/>
          <w:szCs w:val="24"/>
          <w:u w:val="single"/>
        </w:rPr>
        <w:t>Recommendation of our Chosen Therapeutic</w:t>
      </w:r>
    </w:p>
    <w:p w14:paraId="00000044" w14:textId="77777777" w:rsidR="0057600A" w:rsidRDefault="00265D21">
      <w:pPr>
        <w:rPr>
          <w:sz w:val="24"/>
          <w:szCs w:val="24"/>
        </w:rPr>
      </w:pPr>
      <w:r>
        <w:rPr>
          <w:sz w:val="24"/>
          <w:szCs w:val="24"/>
        </w:rPr>
        <w:t xml:space="preserve">Out of the three alternate treatments to </w:t>
      </w:r>
      <w:proofErr w:type="spellStart"/>
      <w:r>
        <w:rPr>
          <w:sz w:val="24"/>
          <w:szCs w:val="24"/>
        </w:rPr>
        <w:t>Hemlibra</w:t>
      </w:r>
      <w:proofErr w:type="spellEnd"/>
      <w:r>
        <w:rPr>
          <w:sz w:val="24"/>
          <w:szCs w:val="24"/>
        </w:rPr>
        <w:t xml:space="preserve"> discussed throughout this writing, we recommend the transdermal dissolving microneedle patch array as our proposed next-generation system. Though its cost may be prohibitive now, we believe that can be </w:t>
      </w:r>
      <w:proofErr w:type="gramStart"/>
      <w:r>
        <w:rPr>
          <w:sz w:val="24"/>
          <w:szCs w:val="24"/>
        </w:rPr>
        <w:t>improved upon</w:t>
      </w:r>
      <w:proofErr w:type="gramEnd"/>
      <w:r>
        <w:rPr>
          <w:sz w:val="24"/>
          <w:szCs w:val="24"/>
        </w:rPr>
        <w:t xml:space="preserve"> in future production. Ultimately, the patch system combines novelty, high accessibility and compliance, and high efficacy in a small, manageable package.</w:t>
      </w:r>
    </w:p>
    <w:p w14:paraId="00000045" w14:textId="77777777" w:rsidR="0057600A" w:rsidRDefault="00265D21">
      <w:pPr>
        <w:rPr>
          <w:sz w:val="24"/>
          <w:szCs w:val="24"/>
        </w:rPr>
      </w:pPr>
      <w:r>
        <w:rPr>
          <w:sz w:val="24"/>
          <w:szCs w:val="24"/>
        </w:rPr>
        <w:t xml:space="preserve">Compared to the PLGA depot formulation, the microneedle patch eliminates conventional injection entirely while maintaining the established mechanism of action of </w:t>
      </w:r>
      <w:proofErr w:type="spellStart"/>
      <w:r>
        <w:rPr>
          <w:sz w:val="24"/>
          <w:szCs w:val="24"/>
        </w:rPr>
        <w:t>emicizumab</w:t>
      </w:r>
      <w:proofErr w:type="spellEnd"/>
      <w:r>
        <w:rPr>
          <w:sz w:val="24"/>
          <w:szCs w:val="24"/>
        </w:rPr>
        <w:t>. Although the depot system may be more immediately feasible, the patch offers greater potential to improve patient acceptance and long-term adherence, particularly among pediatric and needle-averse patients. Additionally, the microneedle approach presents substantially lower regulatory uncertainty than the DNA-encoded antibody strategy while still providing a highly innovative delivery method.</w:t>
      </w:r>
    </w:p>
    <w:p w14:paraId="00000046" w14:textId="77777777" w:rsidR="0057600A" w:rsidRDefault="0057600A">
      <w:pPr>
        <w:rPr>
          <w:sz w:val="24"/>
          <w:szCs w:val="24"/>
        </w:rPr>
      </w:pPr>
    </w:p>
    <w:p w14:paraId="00000047" w14:textId="77777777" w:rsidR="0057600A" w:rsidRDefault="0057600A">
      <w:pPr>
        <w:rPr>
          <w:sz w:val="24"/>
          <w:szCs w:val="24"/>
        </w:rPr>
      </w:pPr>
    </w:p>
    <w:p w14:paraId="00000048" w14:textId="77777777" w:rsidR="0057600A" w:rsidRDefault="00265D21">
      <w:pPr>
        <w:spacing w:line="240" w:lineRule="auto"/>
        <w:ind w:left="504"/>
        <w:rPr>
          <w:b/>
          <w:bCs/>
          <w:sz w:val="24"/>
          <w:szCs w:val="24"/>
        </w:rPr>
      </w:pPr>
      <w:r>
        <w:br w:type="page"/>
      </w:r>
    </w:p>
    <w:p w14:paraId="00000049" w14:textId="77777777" w:rsidR="0057600A" w:rsidRDefault="00265D21">
      <w:pPr>
        <w:spacing w:line="240" w:lineRule="auto"/>
        <w:ind w:left="504"/>
        <w:rPr>
          <w:b/>
          <w:bCs/>
          <w:sz w:val="28"/>
          <w:szCs w:val="28"/>
        </w:rPr>
      </w:pPr>
      <w:r>
        <w:rPr>
          <w:b/>
          <w:bCs/>
          <w:sz w:val="28"/>
          <w:szCs w:val="28"/>
        </w:rPr>
        <w:lastRenderedPageBreak/>
        <w:t>References</w:t>
      </w:r>
    </w:p>
    <w:p w14:paraId="0000004A" w14:textId="77777777" w:rsidR="0057600A" w:rsidRDefault="00265D21">
      <w:pPr>
        <w:spacing w:line="240" w:lineRule="auto"/>
        <w:ind w:left="504"/>
        <w:rPr>
          <w:sz w:val="24"/>
          <w:szCs w:val="24"/>
        </w:rPr>
      </w:pPr>
      <w:hyperlink r:id="rId65">
        <w:r>
          <w:rPr>
            <w:sz w:val="24"/>
            <w:szCs w:val="24"/>
          </w:rPr>
          <w:t>(1)</w:t>
        </w:r>
      </w:hyperlink>
      <w:r>
        <w:rPr>
          <w:sz w:val="24"/>
          <w:szCs w:val="24"/>
        </w:rPr>
        <w:tab/>
      </w:r>
      <w:hyperlink r:id="rId66">
        <w:r>
          <w:rPr>
            <w:sz w:val="24"/>
            <w:szCs w:val="24"/>
          </w:rPr>
          <w:t xml:space="preserve">Konkle, B. A.; Nakaya Fletcher, S. Hemophilia A. In </w:t>
        </w:r>
      </w:hyperlink>
      <w:hyperlink r:id="rId67">
        <w:proofErr w:type="spellStart"/>
        <w:r>
          <w:rPr>
            <w:i/>
            <w:iCs/>
            <w:sz w:val="24"/>
            <w:szCs w:val="24"/>
          </w:rPr>
          <w:t>GeneReviews</w:t>
        </w:r>
        <w:proofErr w:type="spellEnd"/>
        <w:r>
          <w:rPr>
            <w:i/>
            <w:iCs/>
            <w:sz w:val="24"/>
            <w:szCs w:val="24"/>
          </w:rPr>
          <w:t>®</w:t>
        </w:r>
      </w:hyperlink>
      <w:hyperlink r:id="rId68">
        <w:r>
          <w:rPr>
            <w:sz w:val="24"/>
            <w:szCs w:val="24"/>
          </w:rPr>
          <w:t xml:space="preserve">; Adam, M. P., Bick, S., </w:t>
        </w:r>
        <w:proofErr w:type="spellStart"/>
        <w:r>
          <w:rPr>
            <w:sz w:val="24"/>
            <w:szCs w:val="24"/>
          </w:rPr>
          <w:t>Mirzaa</w:t>
        </w:r>
        <w:proofErr w:type="spellEnd"/>
        <w:r>
          <w:rPr>
            <w:sz w:val="24"/>
            <w:szCs w:val="24"/>
          </w:rPr>
          <w:t xml:space="preserve">, G. M., Pagon, R. A., Wallace, S. E., Amemiya, A., Eds.; University of Washington, Seattle: Seattle (WA), 1993. </w:t>
        </w:r>
      </w:hyperlink>
    </w:p>
    <w:p w14:paraId="0000004B" w14:textId="77777777" w:rsidR="0057600A" w:rsidRDefault="00265D21">
      <w:pPr>
        <w:spacing w:line="240" w:lineRule="auto"/>
        <w:ind w:left="504"/>
        <w:rPr>
          <w:sz w:val="24"/>
          <w:szCs w:val="24"/>
        </w:rPr>
      </w:pPr>
      <w:hyperlink r:id="rId69">
        <w:r>
          <w:rPr>
            <w:sz w:val="24"/>
            <w:szCs w:val="24"/>
          </w:rPr>
          <w:t>(2)</w:t>
        </w:r>
      </w:hyperlink>
      <w:r>
        <w:rPr>
          <w:sz w:val="24"/>
          <w:szCs w:val="24"/>
        </w:rPr>
        <w:tab/>
      </w:r>
      <w:hyperlink r:id="rId70">
        <w:r>
          <w:rPr>
            <w:sz w:val="24"/>
            <w:szCs w:val="24"/>
          </w:rPr>
          <w:t xml:space="preserve">CDC. </w:t>
        </w:r>
      </w:hyperlink>
      <w:hyperlink r:id="rId71">
        <w:r>
          <w:rPr>
            <w:i/>
            <w:iCs/>
            <w:sz w:val="24"/>
            <w:szCs w:val="24"/>
          </w:rPr>
          <w:t>Factor VIII and Factor IX</w:t>
        </w:r>
      </w:hyperlink>
      <w:hyperlink r:id="rId72">
        <w:r>
          <w:rPr>
            <w:sz w:val="24"/>
            <w:szCs w:val="24"/>
          </w:rPr>
          <w:t xml:space="preserve">. Community Counts. https://www.cdc.gov/hemophilia-community-counts/php/data-research/2024-march-factor-viii-and-factor-ix.html (accessed 2026-05-25). </w:t>
        </w:r>
      </w:hyperlink>
    </w:p>
    <w:p w14:paraId="0000004C" w14:textId="77777777" w:rsidR="0057600A" w:rsidRDefault="00265D21">
      <w:pPr>
        <w:spacing w:line="240" w:lineRule="auto"/>
        <w:ind w:left="504"/>
        <w:rPr>
          <w:sz w:val="24"/>
          <w:szCs w:val="24"/>
        </w:rPr>
      </w:pPr>
      <w:hyperlink r:id="rId73">
        <w:r>
          <w:rPr>
            <w:sz w:val="24"/>
            <w:szCs w:val="24"/>
          </w:rPr>
          <w:t>(3)</w:t>
        </w:r>
      </w:hyperlink>
      <w:r>
        <w:rPr>
          <w:sz w:val="24"/>
          <w:szCs w:val="24"/>
        </w:rPr>
        <w:tab/>
      </w:r>
      <w:hyperlink r:id="rId74">
        <w:r>
          <w:rPr>
            <w:sz w:val="24"/>
            <w:szCs w:val="24"/>
          </w:rPr>
          <w:t xml:space="preserve">Salen, P.; Babiker, H. M. Hemophilia A. In </w:t>
        </w:r>
      </w:hyperlink>
      <w:hyperlink r:id="rId75">
        <w:proofErr w:type="spellStart"/>
        <w:r>
          <w:rPr>
            <w:i/>
            <w:iCs/>
            <w:sz w:val="24"/>
            <w:szCs w:val="24"/>
          </w:rPr>
          <w:t>StatPearls</w:t>
        </w:r>
        <w:proofErr w:type="spellEnd"/>
      </w:hyperlink>
      <w:hyperlink r:id="rId76">
        <w:r>
          <w:rPr>
            <w:sz w:val="24"/>
            <w:szCs w:val="24"/>
          </w:rPr>
          <w:t xml:space="preserve">; </w:t>
        </w:r>
        <w:proofErr w:type="spellStart"/>
        <w:r>
          <w:rPr>
            <w:sz w:val="24"/>
            <w:szCs w:val="24"/>
          </w:rPr>
          <w:t>StatPearls</w:t>
        </w:r>
        <w:proofErr w:type="spellEnd"/>
        <w:r>
          <w:rPr>
            <w:sz w:val="24"/>
            <w:szCs w:val="24"/>
          </w:rPr>
          <w:t xml:space="preserve"> Publishing: Treasure Island (FL), 2026. </w:t>
        </w:r>
      </w:hyperlink>
    </w:p>
    <w:p w14:paraId="0000004D" w14:textId="77777777" w:rsidR="0057600A" w:rsidRDefault="00265D21">
      <w:pPr>
        <w:spacing w:line="240" w:lineRule="auto"/>
        <w:ind w:left="504"/>
        <w:rPr>
          <w:sz w:val="24"/>
          <w:szCs w:val="24"/>
        </w:rPr>
      </w:pPr>
      <w:hyperlink r:id="rId77">
        <w:r>
          <w:rPr>
            <w:sz w:val="24"/>
            <w:szCs w:val="24"/>
          </w:rPr>
          <w:t>(4)</w:t>
        </w:r>
      </w:hyperlink>
      <w:r>
        <w:rPr>
          <w:sz w:val="24"/>
          <w:szCs w:val="24"/>
        </w:rPr>
        <w:tab/>
      </w:r>
      <w:hyperlink r:id="rId78">
        <w:r>
          <w:rPr>
            <w:i/>
            <w:iCs/>
            <w:sz w:val="24"/>
            <w:szCs w:val="24"/>
          </w:rPr>
          <w:t>DailyMed - HEMLIBRA- emicizumab injection, solution</w:t>
        </w:r>
      </w:hyperlink>
      <w:hyperlink r:id="rId79">
        <w:r>
          <w:rPr>
            <w:sz w:val="24"/>
            <w:szCs w:val="24"/>
          </w:rPr>
          <w:t xml:space="preserve">. https://dailymed.nlm.nih.gov/dailymed/drugInfo.cfm?setid=2483adba-fab6-4d1b-96c5-c195577ed071&amp;utm_source=chatgpt.com (accessed 2026-05-25). </w:t>
        </w:r>
      </w:hyperlink>
    </w:p>
    <w:p w14:paraId="0000004E" w14:textId="77777777" w:rsidR="0057600A" w:rsidRDefault="00265D21">
      <w:pPr>
        <w:spacing w:line="240" w:lineRule="auto"/>
        <w:ind w:left="504"/>
        <w:rPr>
          <w:sz w:val="24"/>
          <w:szCs w:val="24"/>
        </w:rPr>
      </w:pPr>
      <w:hyperlink r:id="rId80">
        <w:r>
          <w:rPr>
            <w:sz w:val="24"/>
            <w:szCs w:val="24"/>
          </w:rPr>
          <w:t>(5)</w:t>
        </w:r>
      </w:hyperlink>
      <w:r>
        <w:rPr>
          <w:sz w:val="24"/>
          <w:szCs w:val="24"/>
        </w:rPr>
        <w:tab/>
      </w:r>
      <w:hyperlink r:id="rId81">
        <w:r>
          <w:rPr>
            <w:i/>
            <w:iCs/>
            <w:sz w:val="24"/>
            <w:szCs w:val="24"/>
          </w:rPr>
          <w:t>Genentech: Hemlibra&amp;reg; (emicizumab-kxwh) - Information for Healthcare Providers</w:t>
        </w:r>
      </w:hyperlink>
      <w:hyperlink r:id="rId82">
        <w:r>
          <w:rPr>
            <w:sz w:val="24"/>
            <w:szCs w:val="24"/>
          </w:rPr>
          <w:t xml:space="preserve">. https://www.gene.com/medical-professionals/medicines/hemlibra?utm_source=chatgpt.com (accessed 2026-05-25). </w:t>
        </w:r>
      </w:hyperlink>
    </w:p>
    <w:p w14:paraId="0000004F" w14:textId="77777777" w:rsidR="0057600A" w:rsidRDefault="00265D21">
      <w:pPr>
        <w:spacing w:line="240" w:lineRule="auto"/>
        <w:ind w:left="504"/>
        <w:rPr>
          <w:sz w:val="24"/>
          <w:szCs w:val="24"/>
        </w:rPr>
      </w:pPr>
      <w:hyperlink r:id="rId83">
        <w:r>
          <w:rPr>
            <w:sz w:val="24"/>
            <w:szCs w:val="24"/>
          </w:rPr>
          <w:t>(6)</w:t>
        </w:r>
      </w:hyperlink>
      <w:r>
        <w:rPr>
          <w:sz w:val="24"/>
          <w:szCs w:val="24"/>
        </w:rPr>
        <w:tab/>
      </w:r>
      <w:hyperlink r:id="rId84">
        <w:r>
          <w:rPr>
            <w:sz w:val="24"/>
            <w:szCs w:val="24"/>
          </w:rPr>
          <w:t xml:space="preserve">Mahlangu, J.; Oldenburg, J.; Paz-Priel, I.; Negrier, C.; Niggli, M.; Mancuso, M. E.; Schmitt, C.; Jiménez-Yuste, V.; Kempton, C.; Dhalluin, C.; Callaghan, M. U.; Bujan, W.; Shima, M.; Adamkewicz, J. I.; Asikanius, E.; Levy, G. G.; Kruse-Jarres, R. Emicizumab Prophylaxis in Patients Who Have Hemophilia A without Inhibitors. </w:t>
        </w:r>
      </w:hyperlink>
      <w:hyperlink r:id="rId85">
        <w:r>
          <w:rPr>
            <w:i/>
            <w:iCs/>
            <w:sz w:val="24"/>
            <w:szCs w:val="24"/>
          </w:rPr>
          <w:t xml:space="preserve">N. Engl. J. Med. </w:t>
        </w:r>
      </w:hyperlink>
      <w:hyperlink r:id="rId86">
        <w:r>
          <w:rPr>
            <w:b/>
            <w:bCs/>
            <w:sz w:val="24"/>
            <w:szCs w:val="24"/>
          </w:rPr>
          <w:t>2018</w:t>
        </w:r>
      </w:hyperlink>
      <w:hyperlink r:id="rId87">
        <w:r>
          <w:rPr>
            <w:sz w:val="24"/>
            <w:szCs w:val="24"/>
          </w:rPr>
          <w:t xml:space="preserve">, </w:t>
        </w:r>
      </w:hyperlink>
      <w:hyperlink r:id="rId88">
        <w:r>
          <w:rPr>
            <w:i/>
            <w:iCs/>
            <w:sz w:val="24"/>
            <w:szCs w:val="24"/>
          </w:rPr>
          <w:t>379</w:t>
        </w:r>
      </w:hyperlink>
      <w:hyperlink r:id="rId89">
        <w:r>
          <w:rPr>
            <w:sz w:val="24"/>
            <w:szCs w:val="24"/>
          </w:rPr>
          <w:t xml:space="preserve"> (9), 811–822. https://doi.org/10.1056/NEJMoa1803550. </w:t>
        </w:r>
      </w:hyperlink>
    </w:p>
    <w:p w14:paraId="00000050" w14:textId="77777777" w:rsidR="0057600A" w:rsidRDefault="00265D21">
      <w:pPr>
        <w:spacing w:line="240" w:lineRule="auto"/>
        <w:ind w:left="504"/>
        <w:rPr>
          <w:sz w:val="24"/>
          <w:szCs w:val="24"/>
        </w:rPr>
      </w:pPr>
      <w:hyperlink r:id="rId90">
        <w:r>
          <w:rPr>
            <w:sz w:val="24"/>
            <w:szCs w:val="24"/>
          </w:rPr>
          <w:t>(7)</w:t>
        </w:r>
      </w:hyperlink>
      <w:r>
        <w:rPr>
          <w:sz w:val="24"/>
          <w:szCs w:val="24"/>
        </w:rPr>
        <w:tab/>
      </w:r>
      <w:hyperlink r:id="rId91">
        <w:r>
          <w:rPr>
            <w:sz w:val="24"/>
            <w:szCs w:val="24"/>
          </w:rPr>
          <w:t xml:space="preserve">Oldenburg, J.; Mahlangu, J. N.; Kim, B.; Schmitt, C.; Callaghan, M. U.; Young, G.; Santagostino, E.; Kruse-Jarres, R.; Negrier, C.; Kessler, C.; Valente, N.; Asikanius, E.; Levy, G. G.; Windyga, J.; Shima, M. Emicizumab Prophylaxis in Hemophilia A with Inhibitors. </w:t>
        </w:r>
      </w:hyperlink>
      <w:hyperlink r:id="rId92">
        <w:r>
          <w:rPr>
            <w:i/>
            <w:iCs/>
            <w:sz w:val="24"/>
            <w:szCs w:val="24"/>
          </w:rPr>
          <w:t xml:space="preserve">N. Engl. J. Med. </w:t>
        </w:r>
      </w:hyperlink>
      <w:hyperlink r:id="rId93">
        <w:r>
          <w:rPr>
            <w:b/>
            <w:bCs/>
            <w:sz w:val="24"/>
            <w:szCs w:val="24"/>
          </w:rPr>
          <w:t>2017</w:t>
        </w:r>
      </w:hyperlink>
      <w:hyperlink r:id="rId94">
        <w:r>
          <w:rPr>
            <w:sz w:val="24"/>
            <w:szCs w:val="24"/>
          </w:rPr>
          <w:t xml:space="preserve">, </w:t>
        </w:r>
      </w:hyperlink>
      <w:hyperlink r:id="rId95">
        <w:r>
          <w:rPr>
            <w:i/>
            <w:iCs/>
            <w:sz w:val="24"/>
            <w:szCs w:val="24"/>
          </w:rPr>
          <w:t>377</w:t>
        </w:r>
      </w:hyperlink>
      <w:hyperlink r:id="rId96">
        <w:r>
          <w:rPr>
            <w:sz w:val="24"/>
            <w:szCs w:val="24"/>
          </w:rPr>
          <w:t xml:space="preserve"> (9), 809–818. https://doi.org/10.1056/NEJMoa1703068. </w:t>
        </w:r>
      </w:hyperlink>
    </w:p>
    <w:p w14:paraId="00000051" w14:textId="77777777" w:rsidR="0057600A" w:rsidRDefault="00265D21">
      <w:pPr>
        <w:spacing w:line="240" w:lineRule="auto"/>
        <w:ind w:left="504"/>
        <w:rPr>
          <w:sz w:val="24"/>
          <w:szCs w:val="24"/>
        </w:rPr>
      </w:pPr>
      <w:hyperlink r:id="rId97">
        <w:r>
          <w:rPr>
            <w:sz w:val="24"/>
            <w:szCs w:val="24"/>
          </w:rPr>
          <w:t>(8)</w:t>
        </w:r>
      </w:hyperlink>
      <w:r>
        <w:rPr>
          <w:sz w:val="24"/>
          <w:szCs w:val="24"/>
        </w:rPr>
        <w:tab/>
      </w:r>
      <w:hyperlink r:id="rId98">
        <w:r>
          <w:rPr>
            <w:sz w:val="24"/>
            <w:szCs w:val="24"/>
          </w:rPr>
          <w:t xml:space="preserve">Park, K.; Skidmore, S.; Hadar, J.; Garner, J.; Park, H.; Otte, A.; Soh, B. K.; Yoon, G.; Yu, D.; Yun, Y.; Lee, B. K.; Jiang, X.; Wang, Y. Injectable, Long-Acting PLGA Formulations: Analyzing PLGA and Understanding Microparticle Formation. </w:t>
        </w:r>
      </w:hyperlink>
      <w:hyperlink r:id="rId99">
        <w:r>
          <w:rPr>
            <w:i/>
            <w:iCs/>
            <w:sz w:val="24"/>
            <w:szCs w:val="24"/>
          </w:rPr>
          <w:t xml:space="preserve">J. Control. Release Off. J. Control. Release Soc. </w:t>
        </w:r>
      </w:hyperlink>
      <w:hyperlink r:id="rId100">
        <w:r>
          <w:rPr>
            <w:b/>
            <w:bCs/>
            <w:sz w:val="24"/>
            <w:szCs w:val="24"/>
          </w:rPr>
          <w:t>2019</w:t>
        </w:r>
      </w:hyperlink>
      <w:hyperlink r:id="rId101">
        <w:r>
          <w:rPr>
            <w:sz w:val="24"/>
            <w:szCs w:val="24"/>
          </w:rPr>
          <w:t xml:space="preserve">, </w:t>
        </w:r>
      </w:hyperlink>
      <w:hyperlink r:id="rId102">
        <w:r>
          <w:rPr>
            <w:i/>
            <w:iCs/>
            <w:sz w:val="24"/>
            <w:szCs w:val="24"/>
          </w:rPr>
          <w:t>304</w:t>
        </w:r>
      </w:hyperlink>
      <w:hyperlink r:id="rId103">
        <w:r>
          <w:rPr>
            <w:sz w:val="24"/>
            <w:szCs w:val="24"/>
          </w:rPr>
          <w:t xml:space="preserve">, 125–134. https://doi.org/10.1016/j.jconrel.2019.05.003. </w:t>
        </w:r>
      </w:hyperlink>
    </w:p>
    <w:p w14:paraId="00000052" w14:textId="77777777" w:rsidR="0057600A" w:rsidRDefault="00265D21">
      <w:pPr>
        <w:spacing w:line="240" w:lineRule="auto"/>
        <w:ind w:left="504"/>
        <w:rPr>
          <w:sz w:val="24"/>
          <w:szCs w:val="24"/>
        </w:rPr>
      </w:pPr>
      <w:hyperlink r:id="rId104">
        <w:r>
          <w:rPr>
            <w:sz w:val="24"/>
            <w:szCs w:val="24"/>
          </w:rPr>
          <w:t>(9)</w:t>
        </w:r>
      </w:hyperlink>
      <w:r>
        <w:rPr>
          <w:sz w:val="24"/>
          <w:szCs w:val="24"/>
        </w:rPr>
        <w:tab/>
      </w:r>
      <w:hyperlink r:id="rId105">
        <w:r>
          <w:rPr>
            <w:sz w:val="24"/>
            <w:szCs w:val="24"/>
          </w:rPr>
          <w:t xml:space="preserve">Blasi, P. Poly(Lactic Acid)/Poly(Lactic-Co-Glycolic Acid)-Based Microparticles: An Overview. </w:t>
        </w:r>
      </w:hyperlink>
      <w:hyperlink r:id="rId106">
        <w:r>
          <w:rPr>
            <w:i/>
            <w:iCs/>
            <w:sz w:val="24"/>
            <w:szCs w:val="24"/>
          </w:rPr>
          <w:t xml:space="preserve">J. Pharm. Investig. </w:t>
        </w:r>
      </w:hyperlink>
      <w:hyperlink r:id="rId107">
        <w:r>
          <w:rPr>
            <w:b/>
            <w:bCs/>
            <w:sz w:val="24"/>
            <w:szCs w:val="24"/>
          </w:rPr>
          <w:t>2019</w:t>
        </w:r>
      </w:hyperlink>
      <w:hyperlink r:id="rId108">
        <w:r>
          <w:rPr>
            <w:sz w:val="24"/>
            <w:szCs w:val="24"/>
          </w:rPr>
          <w:t xml:space="preserve">, </w:t>
        </w:r>
      </w:hyperlink>
      <w:hyperlink r:id="rId109">
        <w:r>
          <w:rPr>
            <w:i/>
            <w:iCs/>
            <w:sz w:val="24"/>
            <w:szCs w:val="24"/>
          </w:rPr>
          <w:t>49</w:t>
        </w:r>
      </w:hyperlink>
      <w:hyperlink r:id="rId110">
        <w:r>
          <w:rPr>
            <w:sz w:val="24"/>
            <w:szCs w:val="24"/>
          </w:rPr>
          <w:t xml:space="preserve"> (4), 337–346. https://doi.org/10.1007/s40005-019-00453-z. </w:t>
        </w:r>
      </w:hyperlink>
    </w:p>
    <w:p w14:paraId="00000053" w14:textId="77777777" w:rsidR="0057600A" w:rsidRDefault="00265D21">
      <w:pPr>
        <w:spacing w:line="240" w:lineRule="auto"/>
        <w:ind w:left="504"/>
        <w:rPr>
          <w:sz w:val="24"/>
          <w:szCs w:val="24"/>
        </w:rPr>
      </w:pPr>
      <w:hyperlink r:id="rId111">
        <w:r>
          <w:rPr>
            <w:sz w:val="24"/>
            <w:szCs w:val="24"/>
          </w:rPr>
          <w:t>(10)</w:t>
        </w:r>
      </w:hyperlink>
      <w:r>
        <w:rPr>
          <w:sz w:val="24"/>
          <w:szCs w:val="24"/>
        </w:rPr>
        <w:tab/>
      </w:r>
      <w:hyperlink r:id="rId112">
        <w:r>
          <w:rPr>
            <w:i/>
            <w:iCs/>
            <w:sz w:val="24"/>
            <w:szCs w:val="24"/>
          </w:rPr>
          <w:t>Hemlibra 30 mg/mL Solution for Injection - Summary of Product Characteristics (SmPC) - (emc) | 9042</w:t>
        </w:r>
      </w:hyperlink>
      <w:hyperlink r:id="rId113">
        <w:r>
          <w:rPr>
            <w:sz w:val="24"/>
            <w:szCs w:val="24"/>
          </w:rPr>
          <w:t xml:space="preserve">. https://www.medicines.org.uk/emc/product/9042/smpc?utm_source=chatgpt.com (accessed 2026-05-25). </w:t>
        </w:r>
      </w:hyperlink>
    </w:p>
    <w:p w14:paraId="00000054" w14:textId="77777777" w:rsidR="0057600A" w:rsidRDefault="00265D21">
      <w:pPr>
        <w:spacing w:line="240" w:lineRule="auto"/>
        <w:ind w:left="504"/>
        <w:rPr>
          <w:sz w:val="24"/>
          <w:szCs w:val="24"/>
        </w:rPr>
      </w:pPr>
      <w:hyperlink r:id="rId114">
        <w:r>
          <w:rPr>
            <w:sz w:val="24"/>
            <w:szCs w:val="24"/>
          </w:rPr>
          <w:t>(11)</w:t>
        </w:r>
      </w:hyperlink>
      <w:r>
        <w:rPr>
          <w:sz w:val="24"/>
          <w:szCs w:val="24"/>
        </w:rPr>
        <w:tab/>
      </w:r>
      <w:hyperlink r:id="rId115">
        <w:r>
          <w:rPr>
            <w:sz w:val="24"/>
            <w:szCs w:val="24"/>
          </w:rPr>
          <w:t xml:space="preserve">O’Brien, M. N.; Jiang, W.; Wang, Y.; Loffredo, D. M. Challenges and Opportunities in the Development of Complex Generic Long-Acting Injectable Drug Products. </w:t>
        </w:r>
      </w:hyperlink>
      <w:hyperlink r:id="rId116">
        <w:r>
          <w:rPr>
            <w:i/>
            <w:iCs/>
            <w:sz w:val="24"/>
            <w:szCs w:val="24"/>
          </w:rPr>
          <w:t xml:space="preserve">J. Control. Release Off. J. Control. Release Soc. </w:t>
        </w:r>
      </w:hyperlink>
      <w:hyperlink r:id="rId117">
        <w:r>
          <w:rPr>
            <w:b/>
            <w:bCs/>
            <w:sz w:val="24"/>
            <w:szCs w:val="24"/>
          </w:rPr>
          <w:t>2021</w:t>
        </w:r>
      </w:hyperlink>
      <w:hyperlink r:id="rId118">
        <w:r>
          <w:rPr>
            <w:sz w:val="24"/>
            <w:szCs w:val="24"/>
          </w:rPr>
          <w:t xml:space="preserve">, </w:t>
        </w:r>
      </w:hyperlink>
      <w:hyperlink r:id="rId119">
        <w:r>
          <w:rPr>
            <w:i/>
            <w:iCs/>
            <w:sz w:val="24"/>
            <w:szCs w:val="24"/>
          </w:rPr>
          <w:t>336</w:t>
        </w:r>
      </w:hyperlink>
      <w:hyperlink r:id="rId120">
        <w:r>
          <w:rPr>
            <w:sz w:val="24"/>
            <w:szCs w:val="24"/>
          </w:rPr>
          <w:t xml:space="preserve">, 144–158. https://doi.org/10.1016/j.jconrel.2021.06.017. </w:t>
        </w:r>
      </w:hyperlink>
    </w:p>
    <w:p w14:paraId="00000055" w14:textId="77777777" w:rsidR="0057600A" w:rsidRDefault="00265D21">
      <w:pPr>
        <w:spacing w:line="240" w:lineRule="auto"/>
        <w:ind w:left="504"/>
        <w:rPr>
          <w:sz w:val="24"/>
          <w:szCs w:val="24"/>
        </w:rPr>
      </w:pPr>
      <w:hyperlink r:id="rId121">
        <w:r>
          <w:rPr>
            <w:sz w:val="24"/>
            <w:szCs w:val="24"/>
          </w:rPr>
          <w:t>(12)</w:t>
        </w:r>
      </w:hyperlink>
      <w:r>
        <w:rPr>
          <w:sz w:val="24"/>
          <w:szCs w:val="24"/>
        </w:rPr>
        <w:tab/>
      </w:r>
      <w:hyperlink r:id="rId122">
        <w:r>
          <w:rPr>
            <w:i/>
            <w:iCs/>
            <w:sz w:val="24"/>
            <w:szCs w:val="24"/>
          </w:rPr>
          <w:t>Emicizumab Dosage Guide + Max Dose, Adjustments</w:t>
        </w:r>
      </w:hyperlink>
      <w:hyperlink r:id="rId123">
        <w:r>
          <w:rPr>
            <w:sz w:val="24"/>
            <w:szCs w:val="24"/>
          </w:rPr>
          <w:t xml:space="preserve">. Drugs.com. https://www.drugs.com/dosage/emicizumab.html (accessed 2026-05-25). </w:t>
        </w:r>
      </w:hyperlink>
    </w:p>
    <w:p w14:paraId="00000056" w14:textId="77777777" w:rsidR="0057600A" w:rsidRDefault="00265D21">
      <w:pPr>
        <w:spacing w:line="240" w:lineRule="auto"/>
        <w:ind w:left="504"/>
        <w:rPr>
          <w:sz w:val="24"/>
          <w:szCs w:val="24"/>
        </w:rPr>
      </w:pPr>
      <w:hyperlink r:id="rId124">
        <w:r>
          <w:rPr>
            <w:sz w:val="24"/>
            <w:szCs w:val="24"/>
          </w:rPr>
          <w:t>(13)</w:t>
        </w:r>
      </w:hyperlink>
      <w:r>
        <w:rPr>
          <w:sz w:val="24"/>
          <w:szCs w:val="24"/>
        </w:rPr>
        <w:tab/>
      </w:r>
      <w:hyperlink r:id="rId125">
        <w:r>
          <w:rPr>
            <w:i/>
            <w:iCs/>
            <w:sz w:val="24"/>
            <w:szCs w:val="24"/>
          </w:rPr>
          <w:t xml:space="preserve">Pharmacoeconomic Report: </w:t>
        </w:r>
        <w:proofErr w:type="spellStart"/>
        <w:r>
          <w:rPr>
            <w:i/>
            <w:iCs/>
            <w:sz w:val="24"/>
            <w:szCs w:val="24"/>
          </w:rPr>
          <w:t>Emicizumab</w:t>
        </w:r>
        <w:proofErr w:type="spellEnd"/>
        <w:r>
          <w:rPr>
            <w:i/>
            <w:iCs/>
            <w:sz w:val="24"/>
            <w:szCs w:val="24"/>
          </w:rPr>
          <w:t xml:space="preserve"> (</w:t>
        </w:r>
        <w:proofErr w:type="spellStart"/>
        <w:r>
          <w:rPr>
            <w:i/>
            <w:iCs/>
            <w:sz w:val="24"/>
            <w:szCs w:val="24"/>
          </w:rPr>
          <w:t>Hemlibra</w:t>
        </w:r>
        <w:proofErr w:type="spellEnd"/>
        <w:r>
          <w:rPr>
            <w:i/>
            <w:iCs/>
            <w:sz w:val="24"/>
            <w:szCs w:val="24"/>
          </w:rPr>
          <w:t>): Hoffman-La Roche Ltd: Indication: Bleeding Prevention, Hemophilia A</w:t>
        </w:r>
      </w:hyperlink>
      <w:hyperlink r:id="rId126">
        <w:r>
          <w:rPr>
            <w:sz w:val="24"/>
            <w:szCs w:val="24"/>
          </w:rPr>
          <w:t xml:space="preserve">; CADTH Common Drug Reviews; Canadian Agency for Drugs and Technologies in Health: Ottawa (ON), 2021. </w:t>
        </w:r>
      </w:hyperlink>
    </w:p>
    <w:p w14:paraId="00000057" w14:textId="77777777" w:rsidR="0057600A" w:rsidRDefault="00265D21">
      <w:pPr>
        <w:spacing w:line="240" w:lineRule="auto"/>
        <w:ind w:left="504"/>
        <w:rPr>
          <w:sz w:val="24"/>
          <w:szCs w:val="24"/>
        </w:rPr>
      </w:pPr>
      <w:hyperlink r:id="rId127">
        <w:r>
          <w:rPr>
            <w:sz w:val="24"/>
            <w:szCs w:val="24"/>
          </w:rPr>
          <w:t>(14)</w:t>
        </w:r>
      </w:hyperlink>
      <w:r>
        <w:rPr>
          <w:sz w:val="24"/>
          <w:szCs w:val="24"/>
        </w:rPr>
        <w:tab/>
      </w:r>
      <w:hyperlink r:id="rId128">
        <w:r>
          <w:rPr>
            <w:sz w:val="24"/>
            <w:szCs w:val="24"/>
          </w:rPr>
          <w:t xml:space="preserve">Tischer, B.; Marino, R.; Napolitano, M. Patient Preferences in the Treatment of Hemophilia A: Impact of Storage Conditions on Product Choice. </w:t>
        </w:r>
      </w:hyperlink>
      <w:hyperlink r:id="rId129">
        <w:r>
          <w:rPr>
            <w:i/>
            <w:iCs/>
            <w:sz w:val="24"/>
            <w:szCs w:val="24"/>
          </w:rPr>
          <w:t xml:space="preserve">Patient Prefer. Adherence </w:t>
        </w:r>
      </w:hyperlink>
      <w:hyperlink r:id="rId130">
        <w:r>
          <w:rPr>
            <w:b/>
            <w:bCs/>
            <w:sz w:val="24"/>
            <w:szCs w:val="24"/>
          </w:rPr>
          <w:t>2018</w:t>
        </w:r>
      </w:hyperlink>
      <w:hyperlink r:id="rId131">
        <w:r>
          <w:rPr>
            <w:sz w:val="24"/>
            <w:szCs w:val="24"/>
          </w:rPr>
          <w:t xml:space="preserve">, </w:t>
        </w:r>
      </w:hyperlink>
      <w:hyperlink r:id="rId132">
        <w:r>
          <w:rPr>
            <w:i/>
            <w:iCs/>
            <w:sz w:val="24"/>
            <w:szCs w:val="24"/>
          </w:rPr>
          <w:t>12</w:t>
        </w:r>
      </w:hyperlink>
      <w:hyperlink r:id="rId133">
        <w:r>
          <w:rPr>
            <w:sz w:val="24"/>
            <w:szCs w:val="24"/>
          </w:rPr>
          <w:t xml:space="preserve">, 431–441. https://doi.org/10.2147/PPA.S151812. </w:t>
        </w:r>
      </w:hyperlink>
    </w:p>
    <w:p w14:paraId="00000058" w14:textId="77777777" w:rsidR="0057600A" w:rsidRDefault="00265D21">
      <w:pPr>
        <w:spacing w:line="240" w:lineRule="auto"/>
        <w:ind w:left="504"/>
        <w:rPr>
          <w:sz w:val="24"/>
          <w:szCs w:val="24"/>
        </w:rPr>
      </w:pPr>
      <w:hyperlink r:id="rId134">
        <w:r>
          <w:rPr>
            <w:sz w:val="24"/>
            <w:szCs w:val="24"/>
          </w:rPr>
          <w:t>(15)</w:t>
        </w:r>
      </w:hyperlink>
      <w:r>
        <w:rPr>
          <w:sz w:val="24"/>
          <w:szCs w:val="24"/>
        </w:rPr>
        <w:tab/>
      </w:r>
      <w:hyperlink r:id="rId135">
        <w:r>
          <w:rPr>
            <w:sz w:val="24"/>
            <w:szCs w:val="24"/>
          </w:rPr>
          <w:t xml:space="preserve">Mahlangu, J. Emicizumab for the Prevention of Bleeds in Hemophilia A. </w:t>
        </w:r>
      </w:hyperlink>
      <w:hyperlink r:id="rId136">
        <w:r>
          <w:rPr>
            <w:i/>
            <w:iCs/>
            <w:sz w:val="24"/>
            <w:szCs w:val="24"/>
          </w:rPr>
          <w:t xml:space="preserve">Expert Opin. Biol. Ther. </w:t>
        </w:r>
      </w:hyperlink>
      <w:hyperlink r:id="rId137">
        <w:r>
          <w:rPr>
            <w:b/>
            <w:bCs/>
            <w:sz w:val="24"/>
            <w:szCs w:val="24"/>
          </w:rPr>
          <w:t>2019</w:t>
        </w:r>
      </w:hyperlink>
      <w:hyperlink r:id="rId138">
        <w:r>
          <w:rPr>
            <w:sz w:val="24"/>
            <w:szCs w:val="24"/>
          </w:rPr>
          <w:t xml:space="preserve">, </w:t>
        </w:r>
      </w:hyperlink>
      <w:hyperlink r:id="rId139">
        <w:r>
          <w:rPr>
            <w:i/>
            <w:iCs/>
            <w:sz w:val="24"/>
            <w:szCs w:val="24"/>
          </w:rPr>
          <w:t>19</w:t>
        </w:r>
      </w:hyperlink>
      <w:hyperlink r:id="rId140">
        <w:r>
          <w:rPr>
            <w:sz w:val="24"/>
            <w:szCs w:val="24"/>
          </w:rPr>
          <w:t xml:space="preserve"> (8), 753–761. https://doi.org/10.1080/14712598.2019.1626370. </w:t>
        </w:r>
      </w:hyperlink>
    </w:p>
    <w:p w14:paraId="00000059" w14:textId="77777777" w:rsidR="0057600A" w:rsidRDefault="00265D21">
      <w:pPr>
        <w:spacing w:line="240" w:lineRule="auto"/>
        <w:ind w:left="504"/>
        <w:rPr>
          <w:sz w:val="24"/>
          <w:szCs w:val="24"/>
        </w:rPr>
      </w:pPr>
      <w:hyperlink r:id="rId141">
        <w:r>
          <w:rPr>
            <w:sz w:val="24"/>
            <w:szCs w:val="24"/>
          </w:rPr>
          <w:t>(16)</w:t>
        </w:r>
      </w:hyperlink>
      <w:r>
        <w:rPr>
          <w:sz w:val="24"/>
          <w:szCs w:val="24"/>
        </w:rPr>
        <w:tab/>
      </w:r>
      <w:hyperlink r:id="rId142">
        <w:r>
          <w:rPr>
            <w:sz w:val="24"/>
            <w:szCs w:val="24"/>
          </w:rPr>
          <w:t xml:space="preserve">Tran, K. T. M.; Le, T. T.; Agrahari, V.; Peet, M. M.; Ouattara, L. A.; Anderson, S. M.; Le-Kim, T. H.; Singh, O. N.; Doncel, G. F.; Nguyen, T. D. Single-Administration Long-Acting Microarray Patch with Ultrahigh Loading Capacity and Multiple Releases of Thermally Stable Antibodies. </w:t>
        </w:r>
      </w:hyperlink>
      <w:hyperlink r:id="rId143">
        <w:r>
          <w:rPr>
            <w:i/>
            <w:iCs/>
            <w:sz w:val="24"/>
            <w:szCs w:val="24"/>
          </w:rPr>
          <w:t xml:space="preserve">Mol. Pharm. </w:t>
        </w:r>
      </w:hyperlink>
      <w:hyperlink r:id="rId144">
        <w:r>
          <w:rPr>
            <w:b/>
            <w:bCs/>
            <w:sz w:val="24"/>
            <w:szCs w:val="24"/>
          </w:rPr>
          <w:t>2023</w:t>
        </w:r>
      </w:hyperlink>
      <w:hyperlink r:id="rId145">
        <w:r>
          <w:rPr>
            <w:sz w:val="24"/>
            <w:szCs w:val="24"/>
          </w:rPr>
          <w:t xml:space="preserve">, </w:t>
        </w:r>
      </w:hyperlink>
      <w:hyperlink r:id="rId146">
        <w:r>
          <w:rPr>
            <w:i/>
            <w:iCs/>
            <w:sz w:val="24"/>
            <w:szCs w:val="24"/>
          </w:rPr>
          <w:t>20</w:t>
        </w:r>
      </w:hyperlink>
      <w:hyperlink r:id="rId147">
        <w:r>
          <w:rPr>
            <w:sz w:val="24"/>
            <w:szCs w:val="24"/>
          </w:rPr>
          <w:t xml:space="preserve"> (5), 2352–2361. https://doi.org/10.1021/acs.molpharmaceut.2c00919. </w:t>
        </w:r>
      </w:hyperlink>
    </w:p>
    <w:p w14:paraId="0000005A" w14:textId="77777777" w:rsidR="0057600A" w:rsidRDefault="00265D21">
      <w:pPr>
        <w:spacing w:line="240" w:lineRule="auto"/>
        <w:ind w:left="504"/>
        <w:rPr>
          <w:sz w:val="24"/>
          <w:szCs w:val="24"/>
        </w:rPr>
      </w:pPr>
      <w:hyperlink r:id="rId148">
        <w:r>
          <w:rPr>
            <w:sz w:val="24"/>
            <w:szCs w:val="24"/>
          </w:rPr>
          <w:t>(17)</w:t>
        </w:r>
      </w:hyperlink>
      <w:r>
        <w:rPr>
          <w:sz w:val="24"/>
          <w:szCs w:val="24"/>
        </w:rPr>
        <w:tab/>
      </w:r>
      <w:hyperlink r:id="rId149">
        <w:r>
          <w:rPr>
            <w:sz w:val="24"/>
            <w:szCs w:val="24"/>
          </w:rPr>
          <w:t xml:space="preserve">Kirkby, M.; Hutton, A. R. J.; Donnelly, R. F. Microneedle Mediated Transdermal Delivery of Protein, Peptide and Antibody Based Therapeutics: Current Status and Future Considerations. </w:t>
        </w:r>
      </w:hyperlink>
      <w:hyperlink r:id="rId150">
        <w:r>
          <w:rPr>
            <w:i/>
            <w:iCs/>
            <w:sz w:val="24"/>
            <w:szCs w:val="24"/>
          </w:rPr>
          <w:t xml:space="preserve">Pharm. Res. </w:t>
        </w:r>
      </w:hyperlink>
      <w:hyperlink r:id="rId151">
        <w:r>
          <w:rPr>
            <w:b/>
            <w:bCs/>
            <w:sz w:val="24"/>
            <w:szCs w:val="24"/>
          </w:rPr>
          <w:t>2020</w:t>
        </w:r>
      </w:hyperlink>
      <w:hyperlink r:id="rId152">
        <w:r>
          <w:rPr>
            <w:sz w:val="24"/>
            <w:szCs w:val="24"/>
          </w:rPr>
          <w:t xml:space="preserve">, </w:t>
        </w:r>
      </w:hyperlink>
      <w:hyperlink r:id="rId153">
        <w:r>
          <w:rPr>
            <w:i/>
            <w:iCs/>
            <w:sz w:val="24"/>
            <w:szCs w:val="24"/>
          </w:rPr>
          <w:t>37</w:t>
        </w:r>
      </w:hyperlink>
      <w:hyperlink r:id="rId154">
        <w:r>
          <w:rPr>
            <w:sz w:val="24"/>
            <w:szCs w:val="24"/>
          </w:rPr>
          <w:t xml:space="preserve"> (6), 117. https://doi.org/10.1007/s11095-020-02844-6. </w:t>
        </w:r>
      </w:hyperlink>
    </w:p>
    <w:p w14:paraId="0000005B" w14:textId="77777777" w:rsidR="0057600A" w:rsidRDefault="00265D21">
      <w:pPr>
        <w:spacing w:line="240" w:lineRule="auto"/>
        <w:ind w:left="504"/>
        <w:rPr>
          <w:sz w:val="24"/>
          <w:szCs w:val="24"/>
        </w:rPr>
      </w:pPr>
      <w:hyperlink r:id="rId155">
        <w:r>
          <w:rPr>
            <w:sz w:val="24"/>
            <w:szCs w:val="24"/>
          </w:rPr>
          <w:t>(18)</w:t>
        </w:r>
      </w:hyperlink>
      <w:r>
        <w:rPr>
          <w:sz w:val="24"/>
          <w:szCs w:val="24"/>
        </w:rPr>
        <w:tab/>
      </w:r>
      <w:hyperlink r:id="rId156">
        <w:r>
          <w:rPr>
            <w:sz w:val="24"/>
            <w:szCs w:val="24"/>
          </w:rPr>
          <w:t xml:space="preserve">Retout, S.; Schmitt, C.; Petry, C.; Mercier, F.; Frey, N. Population Pharmacokinetic Analysis and Exploratory Exposure–Bleeding Rate Relationship of Emicizumab in Adult and Pediatric Persons with Hemophilia A. </w:t>
        </w:r>
      </w:hyperlink>
      <w:hyperlink r:id="rId157">
        <w:r>
          <w:rPr>
            <w:i/>
            <w:iCs/>
            <w:sz w:val="24"/>
            <w:szCs w:val="24"/>
          </w:rPr>
          <w:t xml:space="preserve">Clin. Pharmacokinet. </w:t>
        </w:r>
      </w:hyperlink>
      <w:hyperlink r:id="rId158">
        <w:r>
          <w:rPr>
            <w:b/>
            <w:bCs/>
            <w:sz w:val="24"/>
            <w:szCs w:val="24"/>
          </w:rPr>
          <w:t>2020</w:t>
        </w:r>
      </w:hyperlink>
      <w:hyperlink r:id="rId159">
        <w:r>
          <w:rPr>
            <w:sz w:val="24"/>
            <w:szCs w:val="24"/>
          </w:rPr>
          <w:t xml:space="preserve">, </w:t>
        </w:r>
      </w:hyperlink>
      <w:hyperlink r:id="rId160">
        <w:r>
          <w:rPr>
            <w:i/>
            <w:iCs/>
            <w:sz w:val="24"/>
            <w:szCs w:val="24"/>
          </w:rPr>
          <w:t>59</w:t>
        </w:r>
      </w:hyperlink>
      <w:hyperlink r:id="rId161">
        <w:r>
          <w:rPr>
            <w:sz w:val="24"/>
            <w:szCs w:val="24"/>
          </w:rPr>
          <w:t xml:space="preserve"> (12), 1611–1625. https://doi.org/10.1007/s40262-020-00904-z. </w:t>
        </w:r>
      </w:hyperlink>
    </w:p>
    <w:p w14:paraId="0000005C" w14:textId="77777777" w:rsidR="0057600A" w:rsidRDefault="00265D21">
      <w:pPr>
        <w:spacing w:line="240" w:lineRule="auto"/>
        <w:ind w:left="504"/>
        <w:rPr>
          <w:sz w:val="24"/>
          <w:szCs w:val="24"/>
        </w:rPr>
      </w:pPr>
      <w:hyperlink r:id="rId162">
        <w:r>
          <w:rPr>
            <w:sz w:val="24"/>
            <w:szCs w:val="24"/>
          </w:rPr>
          <w:t>(19)</w:t>
        </w:r>
      </w:hyperlink>
      <w:r>
        <w:rPr>
          <w:sz w:val="24"/>
          <w:szCs w:val="24"/>
        </w:rPr>
        <w:tab/>
      </w:r>
      <w:hyperlink r:id="rId163">
        <w:r>
          <w:rPr>
            <w:sz w:val="24"/>
            <w:szCs w:val="24"/>
          </w:rPr>
          <w:t xml:space="preserve">Parisi, K.; Kumar, A. </w:t>
        </w:r>
        <w:proofErr w:type="spellStart"/>
        <w:r>
          <w:rPr>
            <w:sz w:val="24"/>
            <w:szCs w:val="24"/>
          </w:rPr>
          <w:t>Emicizumab</w:t>
        </w:r>
        <w:proofErr w:type="spellEnd"/>
        <w:r>
          <w:rPr>
            <w:sz w:val="24"/>
            <w:szCs w:val="24"/>
          </w:rPr>
          <w:t xml:space="preserve">. In </w:t>
        </w:r>
      </w:hyperlink>
      <w:hyperlink r:id="rId164">
        <w:proofErr w:type="spellStart"/>
        <w:r>
          <w:rPr>
            <w:i/>
            <w:iCs/>
            <w:sz w:val="24"/>
            <w:szCs w:val="24"/>
          </w:rPr>
          <w:t>StatPearls</w:t>
        </w:r>
        <w:proofErr w:type="spellEnd"/>
      </w:hyperlink>
      <w:hyperlink r:id="rId165">
        <w:r>
          <w:rPr>
            <w:sz w:val="24"/>
            <w:szCs w:val="24"/>
          </w:rPr>
          <w:t xml:space="preserve">; </w:t>
        </w:r>
        <w:proofErr w:type="spellStart"/>
        <w:r>
          <w:rPr>
            <w:sz w:val="24"/>
            <w:szCs w:val="24"/>
          </w:rPr>
          <w:t>StatPearls</w:t>
        </w:r>
        <w:proofErr w:type="spellEnd"/>
        <w:r>
          <w:rPr>
            <w:sz w:val="24"/>
            <w:szCs w:val="24"/>
          </w:rPr>
          <w:t xml:space="preserve"> Publishing: Treasure Island (FL), 2026. </w:t>
        </w:r>
      </w:hyperlink>
    </w:p>
    <w:p w14:paraId="0000005D" w14:textId="77777777" w:rsidR="0057600A" w:rsidRDefault="00265D21">
      <w:pPr>
        <w:spacing w:line="240" w:lineRule="auto"/>
        <w:ind w:left="504"/>
        <w:rPr>
          <w:sz w:val="24"/>
          <w:szCs w:val="24"/>
        </w:rPr>
      </w:pPr>
      <w:hyperlink r:id="rId166">
        <w:r>
          <w:rPr>
            <w:sz w:val="24"/>
            <w:szCs w:val="24"/>
          </w:rPr>
          <w:t>(20)</w:t>
        </w:r>
      </w:hyperlink>
      <w:r>
        <w:rPr>
          <w:sz w:val="24"/>
          <w:szCs w:val="24"/>
        </w:rPr>
        <w:tab/>
      </w:r>
      <w:hyperlink r:id="rId167">
        <w:r>
          <w:rPr>
            <w:sz w:val="24"/>
            <w:szCs w:val="24"/>
          </w:rPr>
          <w:t xml:space="preserve">Koenitz, L.; Crean, A.; Vucen, S. Stress Factors Affecting Protein Stability during the Fabrication and Storage of Dissolvable Microneedles. </w:t>
        </w:r>
      </w:hyperlink>
      <w:hyperlink r:id="rId168">
        <w:r>
          <w:rPr>
            <w:i/>
            <w:iCs/>
            <w:sz w:val="24"/>
            <w:szCs w:val="24"/>
          </w:rPr>
          <w:t xml:space="preserve">RPS Pharm. Pharmacol. Rep. </w:t>
        </w:r>
      </w:hyperlink>
      <w:hyperlink r:id="rId169">
        <w:r>
          <w:rPr>
            <w:b/>
            <w:bCs/>
            <w:sz w:val="24"/>
            <w:szCs w:val="24"/>
          </w:rPr>
          <w:t>2024</w:t>
        </w:r>
      </w:hyperlink>
      <w:hyperlink r:id="rId170">
        <w:r>
          <w:rPr>
            <w:sz w:val="24"/>
            <w:szCs w:val="24"/>
          </w:rPr>
          <w:t xml:space="preserve">, </w:t>
        </w:r>
      </w:hyperlink>
      <w:hyperlink r:id="rId171">
        <w:r>
          <w:rPr>
            <w:i/>
            <w:iCs/>
            <w:sz w:val="24"/>
            <w:szCs w:val="24"/>
          </w:rPr>
          <w:t>3</w:t>
        </w:r>
      </w:hyperlink>
      <w:hyperlink r:id="rId172">
        <w:r>
          <w:rPr>
            <w:sz w:val="24"/>
            <w:szCs w:val="24"/>
          </w:rPr>
          <w:t xml:space="preserve"> (3), rqae018. https://doi.org/10.1093/rpsppr/rqae018. </w:t>
        </w:r>
      </w:hyperlink>
    </w:p>
    <w:p w14:paraId="0000005E" w14:textId="77777777" w:rsidR="0057600A" w:rsidRDefault="00265D21">
      <w:pPr>
        <w:spacing w:line="240" w:lineRule="auto"/>
        <w:ind w:left="504"/>
        <w:rPr>
          <w:sz w:val="24"/>
          <w:szCs w:val="24"/>
        </w:rPr>
      </w:pPr>
      <w:hyperlink r:id="rId173">
        <w:r>
          <w:rPr>
            <w:sz w:val="24"/>
            <w:szCs w:val="24"/>
          </w:rPr>
          <w:t>(21)</w:t>
        </w:r>
      </w:hyperlink>
      <w:r>
        <w:rPr>
          <w:sz w:val="24"/>
          <w:szCs w:val="24"/>
        </w:rPr>
        <w:tab/>
      </w:r>
      <w:hyperlink r:id="rId174">
        <w:r>
          <w:rPr>
            <w:sz w:val="24"/>
            <w:szCs w:val="24"/>
          </w:rPr>
          <w:t xml:space="preserve">Doppen, M.; Kearns, C.; Kearns, N.; Hills, T.; Shortt, G.; Gray, L.; Weatherall, M.; Moreland, N. J.; Mirjalili, A.; Beasley, R. Needle Length Selection for Intramuscular Vaccine Administration: Time for an Evidence-Based Approach. </w:t>
        </w:r>
      </w:hyperlink>
      <w:hyperlink r:id="rId175">
        <w:r>
          <w:rPr>
            <w:i/>
            <w:iCs/>
            <w:sz w:val="24"/>
            <w:szCs w:val="24"/>
          </w:rPr>
          <w:t xml:space="preserve">Public Health Pract. </w:t>
        </w:r>
      </w:hyperlink>
      <w:hyperlink r:id="rId176">
        <w:r>
          <w:rPr>
            <w:b/>
            <w:bCs/>
            <w:sz w:val="24"/>
            <w:szCs w:val="24"/>
          </w:rPr>
          <w:t>2025</w:t>
        </w:r>
      </w:hyperlink>
      <w:hyperlink r:id="rId177">
        <w:r>
          <w:rPr>
            <w:sz w:val="24"/>
            <w:szCs w:val="24"/>
          </w:rPr>
          <w:t xml:space="preserve">, </w:t>
        </w:r>
      </w:hyperlink>
      <w:hyperlink r:id="rId178">
        <w:r>
          <w:rPr>
            <w:i/>
            <w:iCs/>
            <w:sz w:val="24"/>
            <w:szCs w:val="24"/>
          </w:rPr>
          <w:t>10</w:t>
        </w:r>
      </w:hyperlink>
      <w:hyperlink r:id="rId179">
        <w:r>
          <w:rPr>
            <w:sz w:val="24"/>
            <w:szCs w:val="24"/>
          </w:rPr>
          <w:t xml:space="preserve">, 100657. https://doi.org/10.1016/j.puhip.2025.100657. </w:t>
        </w:r>
      </w:hyperlink>
    </w:p>
    <w:p w14:paraId="0000005F" w14:textId="77777777" w:rsidR="0057600A" w:rsidRDefault="00265D21">
      <w:pPr>
        <w:spacing w:line="240" w:lineRule="auto"/>
        <w:ind w:left="504"/>
        <w:rPr>
          <w:sz w:val="24"/>
          <w:szCs w:val="24"/>
        </w:rPr>
      </w:pPr>
      <w:hyperlink r:id="rId180">
        <w:r>
          <w:rPr>
            <w:sz w:val="24"/>
            <w:szCs w:val="24"/>
          </w:rPr>
          <w:t>(22)</w:t>
        </w:r>
      </w:hyperlink>
      <w:r>
        <w:rPr>
          <w:sz w:val="24"/>
          <w:szCs w:val="24"/>
        </w:rPr>
        <w:tab/>
      </w:r>
      <w:hyperlink r:id="rId181">
        <w:r>
          <w:rPr>
            <w:sz w:val="24"/>
            <w:szCs w:val="24"/>
          </w:rPr>
          <w:t xml:space="preserve">Hollevoet, K.; Thomas, D.; Compernolle, G.; Vermeire, G.; De Smidt, E.; De Vleeschauwer, S.; Smith, T. R. F.; Fisher, P. D.; Dewilde, M.; Geukens, N.; Declerck, P. Clinically Relevant Dosing and Pharmacokinetics of DNA-Encoded Antibody Therapeutics in a Sheep Model. </w:t>
        </w:r>
      </w:hyperlink>
      <w:hyperlink r:id="rId182">
        <w:r>
          <w:rPr>
            <w:i/>
            <w:iCs/>
            <w:sz w:val="24"/>
            <w:szCs w:val="24"/>
          </w:rPr>
          <w:t xml:space="preserve">Front. Oncol. </w:t>
        </w:r>
      </w:hyperlink>
      <w:hyperlink r:id="rId183">
        <w:r>
          <w:rPr>
            <w:b/>
            <w:bCs/>
            <w:sz w:val="24"/>
            <w:szCs w:val="24"/>
          </w:rPr>
          <w:t>2022</w:t>
        </w:r>
      </w:hyperlink>
      <w:hyperlink r:id="rId184">
        <w:r>
          <w:rPr>
            <w:sz w:val="24"/>
            <w:szCs w:val="24"/>
          </w:rPr>
          <w:t xml:space="preserve">, </w:t>
        </w:r>
      </w:hyperlink>
      <w:hyperlink r:id="rId185">
        <w:r>
          <w:rPr>
            <w:i/>
            <w:iCs/>
            <w:sz w:val="24"/>
            <w:szCs w:val="24"/>
          </w:rPr>
          <w:t>12</w:t>
        </w:r>
      </w:hyperlink>
      <w:hyperlink r:id="rId186">
        <w:r>
          <w:rPr>
            <w:sz w:val="24"/>
            <w:szCs w:val="24"/>
          </w:rPr>
          <w:t xml:space="preserve">. https://doi.org/10.3389/fonc.2022.1017612. </w:t>
        </w:r>
      </w:hyperlink>
    </w:p>
    <w:p w14:paraId="00000060" w14:textId="77777777" w:rsidR="0057600A" w:rsidRDefault="00265D21">
      <w:pPr>
        <w:spacing w:line="240" w:lineRule="auto"/>
        <w:ind w:left="504"/>
        <w:rPr>
          <w:sz w:val="24"/>
          <w:szCs w:val="24"/>
        </w:rPr>
      </w:pPr>
      <w:hyperlink r:id="rId187">
        <w:r>
          <w:rPr>
            <w:sz w:val="24"/>
            <w:szCs w:val="24"/>
          </w:rPr>
          <w:t>(23)</w:t>
        </w:r>
      </w:hyperlink>
      <w:r>
        <w:rPr>
          <w:sz w:val="24"/>
          <w:szCs w:val="24"/>
        </w:rPr>
        <w:tab/>
      </w:r>
      <w:hyperlink r:id="rId188">
        <w:r>
          <w:rPr>
            <w:i/>
            <w:iCs/>
            <w:sz w:val="24"/>
            <w:szCs w:val="24"/>
          </w:rPr>
          <w:t>Journal of Basic and Clinical Pharmacy | Archives</w:t>
        </w:r>
      </w:hyperlink>
      <w:hyperlink r:id="rId189">
        <w:r>
          <w:rPr>
            <w:sz w:val="24"/>
            <w:szCs w:val="24"/>
          </w:rPr>
          <w:t xml:space="preserve">. https://www.jbclinpharm.org/archive.html (accessed 2026-05-25). </w:t>
        </w:r>
      </w:hyperlink>
    </w:p>
    <w:p w14:paraId="00000061" w14:textId="77777777" w:rsidR="0057600A" w:rsidRDefault="00265D21">
      <w:pPr>
        <w:spacing w:line="240" w:lineRule="auto"/>
        <w:ind w:left="504"/>
        <w:rPr>
          <w:sz w:val="24"/>
          <w:szCs w:val="24"/>
        </w:rPr>
      </w:pPr>
      <w:hyperlink r:id="rId190">
        <w:r>
          <w:rPr>
            <w:sz w:val="24"/>
            <w:szCs w:val="24"/>
          </w:rPr>
          <w:t>(24)</w:t>
        </w:r>
      </w:hyperlink>
      <w:r>
        <w:rPr>
          <w:sz w:val="24"/>
          <w:szCs w:val="24"/>
        </w:rPr>
        <w:tab/>
      </w:r>
      <w:hyperlink r:id="rId191">
        <w:r>
          <w:rPr>
            <w:i/>
            <w:iCs/>
            <w:sz w:val="24"/>
            <w:szCs w:val="24"/>
          </w:rPr>
          <w:t>Nursing guidelines : Intramuscular Injections</w:t>
        </w:r>
      </w:hyperlink>
      <w:hyperlink r:id="rId192">
        <w:r>
          <w:rPr>
            <w:sz w:val="24"/>
            <w:szCs w:val="24"/>
          </w:rPr>
          <w:t xml:space="preserve">. https://www.rch.org.au/rchcpg/hospital_clinical_guideline_index/Intramuscular_Injections/ (accessed 2026-05-25). </w:t>
        </w:r>
      </w:hyperlink>
    </w:p>
    <w:p w14:paraId="00000062" w14:textId="77777777" w:rsidR="0057600A" w:rsidRDefault="00265D21">
      <w:pPr>
        <w:spacing w:line="240" w:lineRule="auto"/>
        <w:ind w:left="504"/>
        <w:rPr>
          <w:sz w:val="24"/>
          <w:szCs w:val="24"/>
        </w:rPr>
      </w:pPr>
      <w:hyperlink r:id="rId193">
        <w:r>
          <w:rPr>
            <w:sz w:val="24"/>
            <w:szCs w:val="24"/>
          </w:rPr>
          <w:t>(25)</w:t>
        </w:r>
      </w:hyperlink>
      <w:r>
        <w:rPr>
          <w:sz w:val="24"/>
          <w:szCs w:val="24"/>
        </w:rPr>
        <w:tab/>
      </w:r>
      <w:hyperlink r:id="rId194">
        <w:r>
          <w:rPr>
            <w:i/>
            <w:iCs/>
            <w:sz w:val="24"/>
            <w:szCs w:val="24"/>
          </w:rPr>
          <w:t>sec.gov/Archives/edgar/data/1377888/000126246314000953/filename2.htm</w:t>
        </w:r>
      </w:hyperlink>
      <w:hyperlink r:id="rId195">
        <w:r>
          <w:rPr>
            <w:sz w:val="24"/>
            <w:szCs w:val="24"/>
          </w:rPr>
          <w:t xml:space="preserve">. https://www.sec.gov/Archives/edgar/data/1377888/000126246314000953/filename2.htm (accessed 2026-05-25). </w:t>
        </w:r>
      </w:hyperlink>
    </w:p>
    <w:p w14:paraId="00000063" w14:textId="77777777" w:rsidR="0057600A" w:rsidRDefault="00265D21">
      <w:pPr>
        <w:spacing w:line="240" w:lineRule="auto"/>
        <w:ind w:left="504"/>
        <w:rPr>
          <w:sz w:val="24"/>
          <w:szCs w:val="24"/>
        </w:rPr>
      </w:pPr>
      <w:hyperlink r:id="rId196">
        <w:r>
          <w:rPr>
            <w:sz w:val="24"/>
            <w:szCs w:val="24"/>
          </w:rPr>
          <w:t>(26)</w:t>
        </w:r>
      </w:hyperlink>
      <w:r>
        <w:rPr>
          <w:sz w:val="24"/>
          <w:szCs w:val="24"/>
        </w:rPr>
        <w:tab/>
      </w:r>
      <w:hyperlink r:id="rId197">
        <w:r>
          <w:rPr>
            <w:sz w:val="24"/>
            <w:szCs w:val="24"/>
          </w:rPr>
          <w:t xml:space="preserve">Peng, W.; Polajžer, T.; Yao, C.; Miklavčič, D. Dynamics of Cell Death Due to Electroporation Using Different Pulse Parameters as Revealed by Different Viability Assays. </w:t>
        </w:r>
      </w:hyperlink>
      <w:hyperlink r:id="rId198">
        <w:r>
          <w:rPr>
            <w:i/>
            <w:iCs/>
            <w:sz w:val="24"/>
            <w:szCs w:val="24"/>
          </w:rPr>
          <w:t xml:space="preserve">Ann. Biomed. Eng. </w:t>
        </w:r>
      </w:hyperlink>
      <w:hyperlink r:id="rId199">
        <w:r>
          <w:rPr>
            <w:b/>
            <w:bCs/>
            <w:sz w:val="24"/>
            <w:szCs w:val="24"/>
          </w:rPr>
          <w:t>2024</w:t>
        </w:r>
      </w:hyperlink>
      <w:hyperlink r:id="rId200">
        <w:r>
          <w:rPr>
            <w:sz w:val="24"/>
            <w:szCs w:val="24"/>
          </w:rPr>
          <w:t xml:space="preserve">, </w:t>
        </w:r>
      </w:hyperlink>
      <w:hyperlink r:id="rId201">
        <w:r>
          <w:rPr>
            <w:i/>
            <w:iCs/>
            <w:sz w:val="24"/>
            <w:szCs w:val="24"/>
          </w:rPr>
          <w:t>52</w:t>
        </w:r>
      </w:hyperlink>
      <w:hyperlink r:id="rId202">
        <w:r>
          <w:rPr>
            <w:sz w:val="24"/>
            <w:szCs w:val="24"/>
          </w:rPr>
          <w:t xml:space="preserve"> (1), 22–35. https://doi.org/10.1007/s10439-023-03309-8. </w:t>
        </w:r>
      </w:hyperlink>
    </w:p>
    <w:sectPr w:rsidR="0057600A">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5806199-FC77-41DD-9684-8220D9827382}"/>
  </w:font>
  <w:font w:name="Cambria">
    <w:panose1 w:val="02040503050406030204"/>
    <w:charset w:val="00"/>
    <w:family w:val="roman"/>
    <w:pitch w:val="variable"/>
    <w:sig w:usb0="E00006FF" w:usb1="420024FF" w:usb2="02000000" w:usb3="00000000" w:csb0="0000019F" w:csb1="00000000"/>
    <w:embedRegular r:id="rId2" w:fontKey="{90379CBF-838D-4E7A-8DFC-D0AF8D4416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1F30"/>
    <w:multiLevelType w:val="multilevel"/>
    <w:tmpl w:val="639E1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7963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00A"/>
    <w:rsid w:val="00265D21"/>
    <w:rsid w:val="0057600A"/>
    <w:rsid w:val="00A125D7"/>
    <w:rsid w:val="00F47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B68BD2-2A5C-4DC6-8B24-6670CF339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9Pe4fi" TargetMode="External"/><Relationship Id="rId21" Type="http://schemas.openxmlformats.org/officeDocument/2006/relationships/hyperlink" Target="https://www.zotero.org/google-docs/?BBctYq" TargetMode="External"/><Relationship Id="rId42" Type="http://schemas.openxmlformats.org/officeDocument/2006/relationships/hyperlink" Target="https://www.zotero.org/google-docs/?L7yH0V" TargetMode="External"/><Relationship Id="rId63" Type="http://schemas.openxmlformats.org/officeDocument/2006/relationships/hyperlink" Target="https://www.zotero.org/google-docs/?tOunSi" TargetMode="External"/><Relationship Id="rId84" Type="http://schemas.openxmlformats.org/officeDocument/2006/relationships/hyperlink" Target="https://www.zotero.org/google-docs/?9Pe4fi" TargetMode="External"/><Relationship Id="rId138" Type="http://schemas.openxmlformats.org/officeDocument/2006/relationships/hyperlink" Target="https://www.zotero.org/google-docs/?9Pe4fi" TargetMode="External"/><Relationship Id="rId159" Type="http://schemas.openxmlformats.org/officeDocument/2006/relationships/hyperlink" Target="https://www.zotero.org/google-docs/?9Pe4fi" TargetMode="External"/><Relationship Id="rId170" Type="http://schemas.openxmlformats.org/officeDocument/2006/relationships/hyperlink" Target="https://www.zotero.org/google-docs/?9Pe4fi" TargetMode="External"/><Relationship Id="rId191" Type="http://schemas.openxmlformats.org/officeDocument/2006/relationships/hyperlink" Target="https://www.zotero.org/google-docs/?9Pe4fi" TargetMode="External"/><Relationship Id="rId107" Type="http://schemas.openxmlformats.org/officeDocument/2006/relationships/hyperlink" Target="https://www.zotero.org/google-docs/?9Pe4fi" TargetMode="External"/><Relationship Id="rId11" Type="http://schemas.openxmlformats.org/officeDocument/2006/relationships/hyperlink" Target="https://www.zotero.org/google-docs/?BnoPOC" TargetMode="External"/><Relationship Id="rId32" Type="http://schemas.openxmlformats.org/officeDocument/2006/relationships/hyperlink" Target="https://www.zotero.org/google-docs/?VoEqsI" TargetMode="External"/><Relationship Id="rId53" Type="http://schemas.openxmlformats.org/officeDocument/2006/relationships/hyperlink" Target="https://www.zotero.org/google-docs/?u7bqiE" TargetMode="External"/><Relationship Id="rId74" Type="http://schemas.openxmlformats.org/officeDocument/2006/relationships/hyperlink" Target="https://www.zotero.org/google-docs/?9Pe4fi" TargetMode="External"/><Relationship Id="rId128" Type="http://schemas.openxmlformats.org/officeDocument/2006/relationships/hyperlink" Target="https://www.zotero.org/google-docs/?9Pe4fi" TargetMode="External"/><Relationship Id="rId149" Type="http://schemas.openxmlformats.org/officeDocument/2006/relationships/hyperlink" Target="https://www.zotero.org/google-docs/?9Pe4fi" TargetMode="External"/><Relationship Id="rId5" Type="http://schemas.openxmlformats.org/officeDocument/2006/relationships/hyperlink" Target="https://www.zotero.org/google-docs/?KvC1ng" TargetMode="External"/><Relationship Id="rId95" Type="http://schemas.openxmlformats.org/officeDocument/2006/relationships/hyperlink" Target="https://www.zotero.org/google-docs/?9Pe4fi" TargetMode="External"/><Relationship Id="rId160" Type="http://schemas.openxmlformats.org/officeDocument/2006/relationships/hyperlink" Target="https://www.zotero.org/google-docs/?9Pe4fi" TargetMode="External"/><Relationship Id="rId181" Type="http://schemas.openxmlformats.org/officeDocument/2006/relationships/hyperlink" Target="https://www.zotero.org/google-docs/?9Pe4fi" TargetMode="External"/><Relationship Id="rId22" Type="http://schemas.openxmlformats.org/officeDocument/2006/relationships/hyperlink" Target="https://www.zotero.org/google-docs/?vqWiuj" TargetMode="External"/><Relationship Id="rId43" Type="http://schemas.openxmlformats.org/officeDocument/2006/relationships/hyperlink" Target="https://www.zotero.org/google-docs/?YB0foB" TargetMode="External"/><Relationship Id="rId64" Type="http://schemas.openxmlformats.org/officeDocument/2006/relationships/hyperlink" Target="https://www.zotero.org/google-docs/?3NyRz1" TargetMode="External"/><Relationship Id="rId118" Type="http://schemas.openxmlformats.org/officeDocument/2006/relationships/hyperlink" Target="https://www.zotero.org/google-docs/?9Pe4fi" TargetMode="External"/><Relationship Id="rId139" Type="http://schemas.openxmlformats.org/officeDocument/2006/relationships/hyperlink" Target="https://www.zotero.org/google-docs/?9Pe4fi" TargetMode="External"/><Relationship Id="rId85" Type="http://schemas.openxmlformats.org/officeDocument/2006/relationships/hyperlink" Target="https://www.zotero.org/google-docs/?9Pe4fi" TargetMode="External"/><Relationship Id="rId150" Type="http://schemas.openxmlformats.org/officeDocument/2006/relationships/hyperlink" Target="https://www.zotero.org/google-docs/?9Pe4fi" TargetMode="External"/><Relationship Id="rId171" Type="http://schemas.openxmlformats.org/officeDocument/2006/relationships/hyperlink" Target="https://www.zotero.org/google-docs/?9Pe4fi" TargetMode="External"/><Relationship Id="rId192" Type="http://schemas.openxmlformats.org/officeDocument/2006/relationships/hyperlink" Target="https://www.zotero.org/google-docs/?9Pe4fi" TargetMode="External"/><Relationship Id="rId12" Type="http://schemas.openxmlformats.org/officeDocument/2006/relationships/hyperlink" Target="https://www.zotero.org/google-docs/?scHkN9" TargetMode="External"/><Relationship Id="rId33" Type="http://schemas.openxmlformats.org/officeDocument/2006/relationships/hyperlink" Target="https://www.zotero.org/google-docs/?mXuM1G" TargetMode="External"/><Relationship Id="rId108" Type="http://schemas.openxmlformats.org/officeDocument/2006/relationships/hyperlink" Target="https://www.zotero.org/google-docs/?9Pe4fi" TargetMode="External"/><Relationship Id="rId129" Type="http://schemas.openxmlformats.org/officeDocument/2006/relationships/hyperlink" Target="https://www.zotero.org/google-docs/?9Pe4fi" TargetMode="External"/><Relationship Id="rId54" Type="http://schemas.openxmlformats.org/officeDocument/2006/relationships/hyperlink" Target="https://www.zotero.org/google-docs/?sgJzRg" TargetMode="External"/><Relationship Id="rId75" Type="http://schemas.openxmlformats.org/officeDocument/2006/relationships/hyperlink" Target="https://www.zotero.org/google-docs/?9Pe4fi" TargetMode="External"/><Relationship Id="rId96" Type="http://schemas.openxmlformats.org/officeDocument/2006/relationships/hyperlink" Target="https://www.zotero.org/google-docs/?9Pe4fi" TargetMode="External"/><Relationship Id="rId140" Type="http://schemas.openxmlformats.org/officeDocument/2006/relationships/hyperlink" Target="https://www.zotero.org/google-docs/?9Pe4fi" TargetMode="External"/><Relationship Id="rId161" Type="http://schemas.openxmlformats.org/officeDocument/2006/relationships/hyperlink" Target="https://www.zotero.org/google-docs/?9Pe4fi" TargetMode="External"/><Relationship Id="rId182" Type="http://schemas.openxmlformats.org/officeDocument/2006/relationships/hyperlink" Target="https://www.zotero.org/google-docs/?9Pe4fi" TargetMode="External"/><Relationship Id="rId6" Type="http://schemas.openxmlformats.org/officeDocument/2006/relationships/hyperlink" Target="https://www.zotero.org/google-docs/?PCHhL3" TargetMode="External"/><Relationship Id="rId23" Type="http://schemas.openxmlformats.org/officeDocument/2006/relationships/hyperlink" Target="https://www.zotero.org/google-docs/?MLT3TQ" TargetMode="External"/><Relationship Id="rId119" Type="http://schemas.openxmlformats.org/officeDocument/2006/relationships/hyperlink" Target="https://www.zotero.org/google-docs/?9Pe4fi" TargetMode="External"/><Relationship Id="rId44" Type="http://schemas.openxmlformats.org/officeDocument/2006/relationships/hyperlink" Target="https://www.zotero.org/google-docs/?k7W5LM" TargetMode="External"/><Relationship Id="rId65" Type="http://schemas.openxmlformats.org/officeDocument/2006/relationships/hyperlink" Target="https://www.zotero.org/google-docs/?9Pe4fi" TargetMode="External"/><Relationship Id="rId86" Type="http://schemas.openxmlformats.org/officeDocument/2006/relationships/hyperlink" Target="https://www.zotero.org/google-docs/?9Pe4fi" TargetMode="External"/><Relationship Id="rId130" Type="http://schemas.openxmlformats.org/officeDocument/2006/relationships/hyperlink" Target="https://www.zotero.org/google-docs/?9Pe4fi" TargetMode="External"/><Relationship Id="rId151" Type="http://schemas.openxmlformats.org/officeDocument/2006/relationships/hyperlink" Target="https://www.zotero.org/google-docs/?9Pe4fi" TargetMode="External"/><Relationship Id="rId172" Type="http://schemas.openxmlformats.org/officeDocument/2006/relationships/hyperlink" Target="https://www.zotero.org/google-docs/?9Pe4fi" TargetMode="External"/><Relationship Id="rId193" Type="http://schemas.openxmlformats.org/officeDocument/2006/relationships/hyperlink" Target="https://www.zotero.org/google-docs/?9Pe4fi" TargetMode="External"/><Relationship Id="rId13" Type="http://schemas.openxmlformats.org/officeDocument/2006/relationships/hyperlink" Target="https://www.zotero.org/google-docs/?Ei1PBY" TargetMode="External"/><Relationship Id="rId109" Type="http://schemas.openxmlformats.org/officeDocument/2006/relationships/hyperlink" Target="https://www.zotero.org/google-docs/?9Pe4fi" TargetMode="External"/><Relationship Id="rId34" Type="http://schemas.openxmlformats.org/officeDocument/2006/relationships/hyperlink" Target="https://www.zotero.org/google-docs/?mgweGt" TargetMode="External"/><Relationship Id="rId55" Type="http://schemas.openxmlformats.org/officeDocument/2006/relationships/hyperlink" Target="https://www.zotero.org/google-docs/?z6ma3n" TargetMode="External"/><Relationship Id="rId76" Type="http://schemas.openxmlformats.org/officeDocument/2006/relationships/hyperlink" Target="https://www.zotero.org/google-docs/?9Pe4fi" TargetMode="External"/><Relationship Id="rId97" Type="http://schemas.openxmlformats.org/officeDocument/2006/relationships/hyperlink" Target="https://www.zotero.org/google-docs/?9Pe4fi" TargetMode="External"/><Relationship Id="rId120" Type="http://schemas.openxmlformats.org/officeDocument/2006/relationships/hyperlink" Target="https://www.zotero.org/google-docs/?9Pe4fi" TargetMode="External"/><Relationship Id="rId141" Type="http://schemas.openxmlformats.org/officeDocument/2006/relationships/hyperlink" Target="https://www.zotero.org/google-docs/?9Pe4fi" TargetMode="External"/><Relationship Id="rId7" Type="http://schemas.openxmlformats.org/officeDocument/2006/relationships/hyperlink" Target="https://www.zotero.org/google-docs/?hUSFDH" TargetMode="External"/><Relationship Id="rId162" Type="http://schemas.openxmlformats.org/officeDocument/2006/relationships/hyperlink" Target="https://www.zotero.org/google-docs/?9Pe4fi" TargetMode="External"/><Relationship Id="rId183" Type="http://schemas.openxmlformats.org/officeDocument/2006/relationships/hyperlink" Target="https://www.zotero.org/google-docs/?9Pe4fi" TargetMode="External"/><Relationship Id="rId2" Type="http://schemas.openxmlformats.org/officeDocument/2006/relationships/styles" Target="styles.xml"/><Relationship Id="rId29" Type="http://schemas.openxmlformats.org/officeDocument/2006/relationships/hyperlink" Target="https://www.zotero.org/google-docs/?WPoZVH" TargetMode="External"/><Relationship Id="rId24" Type="http://schemas.openxmlformats.org/officeDocument/2006/relationships/hyperlink" Target="https://www.zotero.org/google-docs/?e4VdZ4" TargetMode="External"/><Relationship Id="rId40" Type="http://schemas.openxmlformats.org/officeDocument/2006/relationships/hyperlink" Target="https://www.zotero.org/google-docs/?Pv48IO" TargetMode="External"/><Relationship Id="rId45" Type="http://schemas.openxmlformats.org/officeDocument/2006/relationships/hyperlink" Target="https://www.zotero.org/google-docs/?wTWmyO" TargetMode="External"/><Relationship Id="rId66" Type="http://schemas.openxmlformats.org/officeDocument/2006/relationships/hyperlink" Target="https://www.zotero.org/google-docs/?9Pe4fi" TargetMode="External"/><Relationship Id="rId87" Type="http://schemas.openxmlformats.org/officeDocument/2006/relationships/hyperlink" Target="https://www.zotero.org/google-docs/?9Pe4fi" TargetMode="External"/><Relationship Id="rId110" Type="http://schemas.openxmlformats.org/officeDocument/2006/relationships/hyperlink" Target="https://www.zotero.org/google-docs/?9Pe4fi" TargetMode="External"/><Relationship Id="rId115" Type="http://schemas.openxmlformats.org/officeDocument/2006/relationships/hyperlink" Target="https://www.zotero.org/google-docs/?9Pe4fi" TargetMode="External"/><Relationship Id="rId131" Type="http://schemas.openxmlformats.org/officeDocument/2006/relationships/hyperlink" Target="https://www.zotero.org/google-docs/?9Pe4fi" TargetMode="External"/><Relationship Id="rId136" Type="http://schemas.openxmlformats.org/officeDocument/2006/relationships/hyperlink" Target="https://www.zotero.org/google-docs/?9Pe4fi" TargetMode="External"/><Relationship Id="rId157" Type="http://schemas.openxmlformats.org/officeDocument/2006/relationships/hyperlink" Target="https://www.zotero.org/google-docs/?9Pe4fi" TargetMode="External"/><Relationship Id="rId178" Type="http://schemas.openxmlformats.org/officeDocument/2006/relationships/hyperlink" Target="https://www.zotero.org/google-docs/?9Pe4fi" TargetMode="External"/><Relationship Id="rId61" Type="http://schemas.openxmlformats.org/officeDocument/2006/relationships/hyperlink" Target="https://www.zotero.org/google-docs/?KbDcM8" TargetMode="External"/><Relationship Id="rId82" Type="http://schemas.openxmlformats.org/officeDocument/2006/relationships/hyperlink" Target="https://www.zotero.org/google-docs/?9Pe4fi" TargetMode="External"/><Relationship Id="rId152" Type="http://schemas.openxmlformats.org/officeDocument/2006/relationships/hyperlink" Target="https://www.zotero.org/google-docs/?9Pe4fi" TargetMode="External"/><Relationship Id="rId173" Type="http://schemas.openxmlformats.org/officeDocument/2006/relationships/hyperlink" Target="https://www.zotero.org/google-docs/?9Pe4fi" TargetMode="External"/><Relationship Id="rId194" Type="http://schemas.openxmlformats.org/officeDocument/2006/relationships/hyperlink" Target="https://www.zotero.org/google-docs/?9Pe4fi" TargetMode="External"/><Relationship Id="rId199" Type="http://schemas.openxmlformats.org/officeDocument/2006/relationships/hyperlink" Target="https://www.zotero.org/google-docs/?9Pe4fi" TargetMode="External"/><Relationship Id="rId203" Type="http://schemas.openxmlformats.org/officeDocument/2006/relationships/fontTable" Target="fontTable.xml"/><Relationship Id="rId19" Type="http://schemas.openxmlformats.org/officeDocument/2006/relationships/hyperlink" Target="https://www.zotero.org/google-docs/?oEskGQ" TargetMode="External"/><Relationship Id="rId14" Type="http://schemas.openxmlformats.org/officeDocument/2006/relationships/hyperlink" Target="https://www.zotero.org/google-docs/?AbhORi" TargetMode="External"/><Relationship Id="rId30" Type="http://schemas.openxmlformats.org/officeDocument/2006/relationships/hyperlink" Target="https://www.zotero.org/google-docs/?7XfwTa" TargetMode="External"/><Relationship Id="rId35" Type="http://schemas.openxmlformats.org/officeDocument/2006/relationships/hyperlink" Target="https://www.zotero.org/google-docs/?1v75gS" TargetMode="External"/><Relationship Id="rId56" Type="http://schemas.openxmlformats.org/officeDocument/2006/relationships/hyperlink" Target="https://www.zotero.org/google-docs/?ALJ0Xt" TargetMode="External"/><Relationship Id="rId77" Type="http://schemas.openxmlformats.org/officeDocument/2006/relationships/hyperlink" Target="https://www.zotero.org/google-docs/?9Pe4fi" TargetMode="External"/><Relationship Id="rId100" Type="http://schemas.openxmlformats.org/officeDocument/2006/relationships/hyperlink" Target="https://www.zotero.org/google-docs/?9Pe4fi" TargetMode="External"/><Relationship Id="rId105" Type="http://schemas.openxmlformats.org/officeDocument/2006/relationships/hyperlink" Target="https://www.zotero.org/google-docs/?9Pe4fi" TargetMode="External"/><Relationship Id="rId126" Type="http://schemas.openxmlformats.org/officeDocument/2006/relationships/hyperlink" Target="https://www.zotero.org/google-docs/?9Pe4fi" TargetMode="External"/><Relationship Id="rId147" Type="http://schemas.openxmlformats.org/officeDocument/2006/relationships/hyperlink" Target="https://www.zotero.org/google-docs/?9Pe4fi" TargetMode="External"/><Relationship Id="rId168" Type="http://schemas.openxmlformats.org/officeDocument/2006/relationships/hyperlink" Target="https://www.zotero.org/google-docs/?9Pe4fi" TargetMode="External"/><Relationship Id="rId8" Type="http://schemas.openxmlformats.org/officeDocument/2006/relationships/hyperlink" Target="https://www.zotero.org/google-docs/?3NPPLy" TargetMode="External"/><Relationship Id="rId51" Type="http://schemas.openxmlformats.org/officeDocument/2006/relationships/hyperlink" Target="https://www.zotero.org/google-docs/?9n8fS9" TargetMode="External"/><Relationship Id="rId72" Type="http://schemas.openxmlformats.org/officeDocument/2006/relationships/hyperlink" Target="https://www.zotero.org/google-docs/?9Pe4fi" TargetMode="External"/><Relationship Id="rId93" Type="http://schemas.openxmlformats.org/officeDocument/2006/relationships/hyperlink" Target="https://www.zotero.org/google-docs/?9Pe4fi" TargetMode="External"/><Relationship Id="rId98" Type="http://schemas.openxmlformats.org/officeDocument/2006/relationships/hyperlink" Target="https://www.zotero.org/google-docs/?9Pe4fi" TargetMode="External"/><Relationship Id="rId121" Type="http://schemas.openxmlformats.org/officeDocument/2006/relationships/hyperlink" Target="https://www.zotero.org/google-docs/?9Pe4fi" TargetMode="External"/><Relationship Id="rId142" Type="http://schemas.openxmlformats.org/officeDocument/2006/relationships/hyperlink" Target="https://www.zotero.org/google-docs/?9Pe4fi" TargetMode="External"/><Relationship Id="rId163" Type="http://schemas.openxmlformats.org/officeDocument/2006/relationships/hyperlink" Target="https://www.zotero.org/google-docs/?9Pe4fi" TargetMode="External"/><Relationship Id="rId184" Type="http://schemas.openxmlformats.org/officeDocument/2006/relationships/hyperlink" Target="https://www.zotero.org/google-docs/?9Pe4fi" TargetMode="External"/><Relationship Id="rId189" Type="http://schemas.openxmlformats.org/officeDocument/2006/relationships/hyperlink" Target="https://www.zotero.org/google-docs/?9Pe4fi" TargetMode="External"/><Relationship Id="rId3" Type="http://schemas.openxmlformats.org/officeDocument/2006/relationships/settings" Target="settings.xml"/><Relationship Id="rId25" Type="http://schemas.openxmlformats.org/officeDocument/2006/relationships/hyperlink" Target="https://www.zotero.org/google-docs/?1uVTlW" TargetMode="External"/><Relationship Id="rId46" Type="http://schemas.openxmlformats.org/officeDocument/2006/relationships/hyperlink" Target="https://www.zotero.org/google-docs/?Br70su" TargetMode="External"/><Relationship Id="rId67" Type="http://schemas.openxmlformats.org/officeDocument/2006/relationships/hyperlink" Target="https://www.zotero.org/google-docs/?9Pe4fi" TargetMode="External"/><Relationship Id="rId116" Type="http://schemas.openxmlformats.org/officeDocument/2006/relationships/hyperlink" Target="https://www.zotero.org/google-docs/?9Pe4fi" TargetMode="External"/><Relationship Id="rId137" Type="http://schemas.openxmlformats.org/officeDocument/2006/relationships/hyperlink" Target="https://www.zotero.org/google-docs/?9Pe4fi" TargetMode="External"/><Relationship Id="rId158" Type="http://schemas.openxmlformats.org/officeDocument/2006/relationships/hyperlink" Target="https://www.zotero.org/google-docs/?9Pe4fi" TargetMode="External"/><Relationship Id="rId20" Type="http://schemas.openxmlformats.org/officeDocument/2006/relationships/hyperlink" Target="https://www.zotero.org/google-docs/?0OFIK0" TargetMode="External"/><Relationship Id="rId41" Type="http://schemas.openxmlformats.org/officeDocument/2006/relationships/hyperlink" Target="https://www.zotero.org/google-docs/?2AY0TP" TargetMode="External"/><Relationship Id="rId62" Type="http://schemas.openxmlformats.org/officeDocument/2006/relationships/hyperlink" Target="https://www.zotero.org/google-docs/?NHYRhF" TargetMode="External"/><Relationship Id="rId83" Type="http://schemas.openxmlformats.org/officeDocument/2006/relationships/hyperlink" Target="https://www.zotero.org/google-docs/?9Pe4fi" TargetMode="External"/><Relationship Id="rId88" Type="http://schemas.openxmlformats.org/officeDocument/2006/relationships/hyperlink" Target="https://www.zotero.org/google-docs/?9Pe4fi" TargetMode="External"/><Relationship Id="rId111" Type="http://schemas.openxmlformats.org/officeDocument/2006/relationships/hyperlink" Target="https://www.zotero.org/google-docs/?9Pe4fi" TargetMode="External"/><Relationship Id="rId132" Type="http://schemas.openxmlformats.org/officeDocument/2006/relationships/hyperlink" Target="https://www.zotero.org/google-docs/?9Pe4fi" TargetMode="External"/><Relationship Id="rId153" Type="http://schemas.openxmlformats.org/officeDocument/2006/relationships/hyperlink" Target="https://www.zotero.org/google-docs/?9Pe4fi" TargetMode="External"/><Relationship Id="rId174" Type="http://schemas.openxmlformats.org/officeDocument/2006/relationships/hyperlink" Target="https://www.zotero.org/google-docs/?9Pe4fi" TargetMode="External"/><Relationship Id="rId179" Type="http://schemas.openxmlformats.org/officeDocument/2006/relationships/hyperlink" Target="https://www.zotero.org/google-docs/?9Pe4fi" TargetMode="External"/><Relationship Id="rId195" Type="http://schemas.openxmlformats.org/officeDocument/2006/relationships/hyperlink" Target="https://www.zotero.org/google-docs/?9Pe4fi" TargetMode="External"/><Relationship Id="rId190" Type="http://schemas.openxmlformats.org/officeDocument/2006/relationships/hyperlink" Target="https://www.zotero.org/google-docs/?9Pe4fi" TargetMode="External"/><Relationship Id="rId204" Type="http://schemas.openxmlformats.org/officeDocument/2006/relationships/theme" Target="theme/theme1.xml"/><Relationship Id="rId15" Type="http://schemas.openxmlformats.org/officeDocument/2006/relationships/hyperlink" Target="https://www.zotero.org/google-docs/?5ZtSJm" TargetMode="External"/><Relationship Id="rId36" Type="http://schemas.openxmlformats.org/officeDocument/2006/relationships/hyperlink" Target="https://www.zotero.org/google-docs/?OMAOd2" TargetMode="External"/><Relationship Id="rId57" Type="http://schemas.openxmlformats.org/officeDocument/2006/relationships/hyperlink" Target="https://www.zotero.org/google-docs/?bOQ4ta" TargetMode="External"/><Relationship Id="rId106" Type="http://schemas.openxmlformats.org/officeDocument/2006/relationships/hyperlink" Target="https://www.zotero.org/google-docs/?9Pe4fi" TargetMode="External"/><Relationship Id="rId127" Type="http://schemas.openxmlformats.org/officeDocument/2006/relationships/hyperlink" Target="https://www.zotero.org/google-docs/?9Pe4fi" TargetMode="External"/><Relationship Id="rId10" Type="http://schemas.openxmlformats.org/officeDocument/2006/relationships/hyperlink" Target="https://www.zotero.org/google-docs/?CTmLuY" TargetMode="External"/><Relationship Id="rId31" Type="http://schemas.openxmlformats.org/officeDocument/2006/relationships/hyperlink" Target="https://www.zotero.org/google-docs/?meQDX9" TargetMode="External"/><Relationship Id="rId52" Type="http://schemas.openxmlformats.org/officeDocument/2006/relationships/hyperlink" Target="https://www.zotero.org/google-docs/?PCHSgA" TargetMode="External"/><Relationship Id="rId73" Type="http://schemas.openxmlformats.org/officeDocument/2006/relationships/hyperlink" Target="https://www.zotero.org/google-docs/?9Pe4fi" TargetMode="External"/><Relationship Id="rId78" Type="http://schemas.openxmlformats.org/officeDocument/2006/relationships/hyperlink" Target="https://www.zotero.org/google-docs/?9Pe4fi" TargetMode="External"/><Relationship Id="rId94" Type="http://schemas.openxmlformats.org/officeDocument/2006/relationships/hyperlink" Target="https://www.zotero.org/google-docs/?9Pe4fi" TargetMode="External"/><Relationship Id="rId99" Type="http://schemas.openxmlformats.org/officeDocument/2006/relationships/hyperlink" Target="https://www.zotero.org/google-docs/?9Pe4fi" TargetMode="External"/><Relationship Id="rId101" Type="http://schemas.openxmlformats.org/officeDocument/2006/relationships/hyperlink" Target="https://www.zotero.org/google-docs/?9Pe4fi" TargetMode="External"/><Relationship Id="rId122" Type="http://schemas.openxmlformats.org/officeDocument/2006/relationships/hyperlink" Target="https://www.zotero.org/google-docs/?9Pe4fi" TargetMode="External"/><Relationship Id="rId143" Type="http://schemas.openxmlformats.org/officeDocument/2006/relationships/hyperlink" Target="https://www.zotero.org/google-docs/?9Pe4fi" TargetMode="External"/><Relationship Id="rId148" Type="http://schemas.openxmlformats.org/officeDocument/2006/relationships/hyperlink" Target="https://www.zotero.org/google-docs/?9Pe4fi" TargetMode="External"/><Relationship Id="rId164" Type="http://schemas.openxmlformats.org/officeDocument/2006/relationships/hyperlink" Target="https://www.zotero.org/google-docs/?9Pe4fi" TargetMode="External"/><Relationship Id="rId169" Type="http://schemas.openxmlformats.org/officeDocument/2006/relationships/hyperlink" Target="https://www.zotero.org/google-docs/?9Pe4fi" TargetMode="External"/><Relationship Id="rId185" Type="http://schemas.openxmlformats.org/officeDocument/2006/relationships/hyperlink" Target="https://www.zotero.org/google-docs/?9Pe4fi" TargetMode="External"/><Relationship Id="rId4" Type="http://schemas.openxmlformats.org/officeDocument/2006/relationships/webSettings" Target="webSettings.xml"/><Relationship Id="rId9" Type="http://schemas.openxmlformats.org/officeDocument/2006/relationships/hyperlink" Target="https://www.zotero.org/google-docs/?4uTxqM" TargetMode="External"/><Relationship Id="rId180" Type="http://schemas.openxmlformats.org/officeDocument/2006/relationships/hyperlink" Target="https://www.zotero.org/google-docs/?9Pe4fi" TargetMode="External"/><Relationship Id="rId26" Type="http://schemas.openxmlformats.org/officeDocument/2006/relationships/hyperlink" Target="https://www.zotero.org/google-docs/?tqrpgt" TargetMode="External"/><Relationship Id="rId47" Type="http://schemas.openxmlformats.org/officeDocument/2006/relationships/hyperlink" Target="https://www.zotero.org/google-docs/?M1U0WC" TargetMode="External"/><Relationship Id="rId68" Type="http://schemas.openxmlformats.org/officeDocument/2006/relationships/hyperlink" Target="https://www.zotero.org/google-docs/?9Pe4fi" TargetMode="External"/><Relationship Id="rId89" Type="http://schemas.openxmlformats.org/officeDocument/2006/relationships/hyperlink" Target="https://www.zotero.org/google-docs/?9Pe4fi" TargetMode="External"/><Relationship Id="rId112" Type="http://schemas.openxmlformats.org/officeDocument/2006/relationships/hyperlink" Target="https://www.zotero.org/google-docs/?9Pe4fi" TargetMode="External"/><Relationship Id="rId133" Type="http://schemas.openxmlformats.org/officeDocument/2006/relationships/hyperlink" Target="https://www.zotero.org/google-docs/?9Pe4fi" TargetMode="External"/><Relationship Id="rId154" Type="http://schemas.openxmlformats.org/officeDocument/2006/relationships/hyperlink" Target="https://www.zotero.org/google-docs/?9Pe4fi" TargetMode="External"/><Relationship Id="rId175" Type="http://schemas.openxmlformats.org/officeDocument/2006/relationships/hyperlink" Target="https://www.zotero.org/google-docs/?9Pe4fi" TargetMode="External"/><Relationship Id="rId196" Type="http://schemas.openxmlformats.org/officeDocument/2006/relationships/hyperlink" Target="https://www.zotero.org/google-docs/?9Pe4fi" TargetMode="External"/><Relationship Id="rId200" Type="http://schemas.openxmlformats.org/officeDocument/2006/relationships/hyperlink" Target="https://www.zotero.org/google-docs/?9Pe4fi" TargetMode="External"/><Relationship Id="rId16" Type="http://schemas.openxmlformats.org/officeDocument/2006/relationships/hyperlink" Target="https://www.zotero.org/google-docs/?mGCHly" TargetMode="External"/><Relationship Id="rId37" Type="http://schemas.openxmlformats.org/officeDocument/2006/relationships/hyperlink" Target="https://www.zotero.org/google-docs/?NNUJpx" TargetMode="External"/><Relationship Id="rId58" Type="http://schemas.openxmlformats.org/officeDocument/2006/relationships/hyperlink" Target="https://www.zotero.org/google-docs/?MRMzwX" TargetMode="External"/><Relationship Id="rId79" Type="http://schemas.openxmlformats.org/officeDocument/2006/relationships/hyperlink" Target="https://www.zotero.org/google-docs/?9Pe4fi" TargetMode="External"/><Relationship Id="rId102" Type="http://schemas.openxmlformats.org/officeDocument/2006/relationships/hyperlink" Target="https://www.zotero.org/google-docs/?9Pe4fi" TargetMode="External"/><Relationship Id="rId123" Type="http://schemas.openxmlformats.org/officeDocument/2006/relationships/hyperlink" Target="https://www.zotero.org/google-docs/?9Pe4fi" TargetMode="External"/><Relationship Id="rId144" Type="http://schemas.openxmlformats.org/officeDocument/2006/relationships/hyperlink" Target="https://www.zotero.org/google-docs/?9Pe4fi" TargetMode="External"/><Relationship Id="rId90" Type="http://schemas.openxmlformats.org/officeDocument/2006/relationships/hyperlink" Target="https://www.zotero.org/google-docs/?9Pe4fi" TargetMode="External"/><Relationship Id="rId165" Type="http://schemas.openxmlformats.org/officeDocument/2006/relationships/hyperlink" Target="https://www.zotero.org/google-docs/?9Pe4fi" TargetMode="External"/><Relationship Id="rId186" Type="http://schemas.openxmlformats.org/officeDocument/2006/relationships/hyperlink" Target="https://www.zotero.org/google-docs/?9Pe4fi" TargetMode="External"/><Relationship Id="rId27" Type="http://schemas.openxmlformats.org/officeDocument/2006/relationships/hyperlink" Target="https://www.zotero.org/google-docs/?TFDnN0" TargetMode="External"/><Relationship Id="rId48" Type="http://schemas.openxmlformats.org/officeDocument/2006/relationships/hyperlink" Target="https://www.zotero.org/google-docs/?2EtN9x" TargetMode="External"/><Relationship Id="rId69" Type="http://schemas.openxmlformats.org/officeDocument/2006/relationships/hyperlink" Target="https://www.zotero.org/google-docs/?9Pe4fi" TargetMode="External"/><Relationship Id="rId113" Type="http://schemas.openxmlformats.org/officeDocument/2006/relationships/hyperlink" Target="https://www.zotero.org/google-docs/?9Pe4fi" TargetMode="External"/><Relationship Id="rId134" Type="http://schemas.openxmlformats.org/officeDocument/2006/relationships/hyperlink" Target="https://www.zotero.org/google-docs/?9Pe4fi" TargetMode="External"/><Relationship Id="rId80" Type="http://schemas.openxmlformats.org/officeDocument/2006/relationships/hyperlink" Target="https://www.zotero.org/google-docs/?9Pe4fi" TargetMode="External"/><Relationship Id="rId155" Type="http://schemas.openxmlformats.org/officeDocument/2006/relationships/hyperlink" Target="https://www.zotero.org/google-docs/?9Pe4fi" TargetMode="External"/><Relationship Id="rId176" Type="http://schemas.openxmlformats.org/officeDocument/2006/relationships/hyperlink" Target="https://www.zotero.org/google-docs/?9Pe4fi" TargetMode="External"/><Relationship Id="rId197" Type="http://schemas.openxmlformats.org/officeDocument/2006/relationships/hyperlink" Target="https://www.zotero.org/google-docs/?9Pe4fi" TargetMode="External"/><Relationship Id="rId201" Type="http://schemas.openxmlformats.org/officeDocument/2006/relationships/hyperlink" Target="https://www.zotero.org/google-docs/?9Pe4fi" TargetMode="External"/><Relationship Id="rId17" Type="http://schemas.openxmlformats.org/officeDocument/2006/relationships/hyperlink" Target="https://www.zotero.org/google-docs/?auxn6z" TargetMode="External"/><Relationship Id="rId38" Type="http://schemas.openxmlformats.org/officeDocument/2006/relationships/hyperlink" Target="https://www.zotero.org/google-docs/?1mCdN9" TargetMode="External"/><Relationship Id="rId59" Type="http://schemas.openxmlformats.org/officeDocument/2006/relationships/hyperlink" Target="https://www.zotero.org/google-docs/?opUllX" TargetMode="External"/><Relationship Id="rId103" Type="http://schemas.openxmlformats.org/officeDocument/2006/relationships/hyperlink" Target="https://www.zotero.org/google-docs/?9Pe4fi" TargetMode="External"/><Relationship Id="rId124" Type="http://schemas.openxmlformats.org/officeDocument/2006/relationships/hyperlink" Target="https://www.zotero.org/google-docs/?9Pe4fi" TargetMode="External"/><Relationship Id="rId70" Type="http://schemas.openxmlformats.org/officeDocument/2006/relationships/hyperlink" Target="https://www.zotero.org/google-docs/?9Pe4fi" TargetMode="External"/><Relationship Id="rId91" Type="http://schemas.openxmlformats.org/officeDocument/2006/relationships/hyperlink" Target="https://www.zotero.org/google-docs/?9Pe4fi" TargetMode="External"/><Relationship Id="rId145" Type="http://schemas.openxmlformats.org/officeDocument/2006/relationships/hyperlink" Target="https://www.zotero.org/google-docs/?9Pe4fi" TargetMode="External"/><Relationship Id="rId166" Type="http://schemas.openxmlformats.org/officeDocument/2006/relationships/hyperlink" Target="https://www.zotero.org/google-docs/?9Pe4fi" TargetMode="External"/><Relationship Id="rId187" Type="http://schemas.openxmlformats.org/officeDocument/2006/relationships/hyperlink" Target="https://www.zotero.org/google-docs/?9Pe4fi" TargetMode="External"/><Relationship Id="rId1" Type="http://schemas.openxmlformats.org/officeDocument/2006/relationships/numbering" Target="numbering.xml"/><Relationship Id="rId28" Type="http://schemas.openxmlformats.org/officeDocument/2006/relationships/hyperlink" Target="https://www.zotero.org/google-docs/?XQZeqL" TargetMode="External"/><Relationship Id="rId49" Type="http://schemas.openxmlformats.org/officeDocument/2006/relationships/hyperlink" Target="https://www.zotero.org/google-docs/?0ioeV6" TargetMode="External"/><Relationship Id="rId114" Type="http://schemas.openxmlformats.org/officeDocument/2006/relationships/hyperlink" Target="https://www.zotero.org/google-docs/?9Pe4fi" TargetMode="External"/><Relationship Id="rId60" Type="http://schemas.openxmlformats.org/officeDocument/2006/relationships/hyperlink" Target="https://www.zotero.org/google-docs/?2YcU8J" TargetMode="External"/><Relationship Id="rId81" Type="http://schemas.openxmlformats.org/officeDocument/2006/relationships/hyperlink" Target="https://www.zotero.org/google-docs/?9Pe4fi" TargetMode="External"/><Relationship Id="rId135" Type="http://schemas.openxmlformats.org/officeDocument/2006/relationships/hyperlink" Target="https://www.zotero.org/google-docs/?9Pe4fi" TargetMode="External"/><Relationship Id="rId156" Type="http://schemas.openxmlformats.org/officeDocument/2006/relationships/hyperlink" Target="https://www.zotero.org/google-docs/?9Pe4fi" TargetMode="External"/><Relationship Id="rId177" Type="http://schemas.openxmlformats.org/officeDocument/2006/relationships/hyperlink" Target="https://www.zotero.org/google-docs/?9Pe4fi" TargetMode="External"/><Relationship Id="rId198" Type="http://schemas.openxmlformats.org/officeDocument/2006/relationships/hyperlink" Target="https://www.zotero.org/google-docs/?9Pe4fi" TargetMode="External"/><Relationship Id="rId202" Type="http://schemas.openxmlformats.org/officeDocument/2006/relationships/hyperlink" Target="https://www.zotero.org/google-docs/?9Pe4fi" TargetMode="External"/><Relationship Id="rId18" Type="http://schemas.openxmlformats.org/officeDocument/2006/relationships/hyperlink" Target="https://www.zotero.org/google-docs/?jMbQRH" TargetMode="External"/><Relationship Id="rId39" Type="http://schemas.openxmlformats.org/officeDocument/2006/relationships/hyperlink" Target="https://www.zotero.org/google-docs/?zkUFz2" TargetMode="External"/><Relationship Id="rId50" Type="http://schemas.openxmlformats.org/officeDocument/2006/relationships/hyperlink" Target="https://www.zotero.org/google-docs/?VM5wsm" TargetMode="External"/><Relationship Id="rId104" Type="http://schemas.openxmlformats.org/officeDocument/2006/relationships/hyperlink" Target="https://www.zotero.org/google-docs/?9Pe4fi" TargetMode="External"/><Relationship Id="rId125" Type="http://schemas.openxmlformats.org/officeDocument/2006/relationships/hyperlink" Target="https://www.zotero.org/google-docs/?9Pe4fi" TargetMode="External"/><Relationship Id="rId146" Type="http://schemas.openxmlformats.org/officeDocument/2006/relationships/hyperlink" Target="https://www.zotero.org/google-docs/?9Pe4fi" TargetMode="External"/><Relationship Id="rId167" Type="http://schemas.openxmlformats.org/officeDocument/2006/relationships/hyperlink" Target="https://www.zotero.org/google-docs/?9Pe4fi" TargetMode="External"/><Relationship Id="rId188" Type="http://schemas.openxmlformats.org/officeDocument/2006/relationships/hyperlink" Target="https://www.zotero.org/google-docs/?9Pe4fi" TargetMode="External"/><Relationship Id="rId71" Type="http://schemas.openxmlformats.org/officeDocument/2006/relationships/hyperlink" Target="https://www.zotero.org/google-docs/?9Pe4fi" TargetMode="External"/><Relationship Id="rId92" Type="http://schemas.openxmlformats.org/officeDocument/2006/relationships/hyperlink" Target="https://www.zotero.org/google-docs/?9Pe4fi"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5333</Words>
  <Characters>32482</Characters>
  <Application>Microsoft Office Word</Application>
  <DocSecurity>0</DocSecurity>
  <Lines>569</Lines>
  <Paragraphs>187</Paragraphs>
  <ScaleCrop>false</ScaleCrop>
  <Company/>
  <LinksUpToDate>false</LinksUpToDate>
  <CharactersWithSpaces>37628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Heien</cp:lastModifiedBy>
  <cp:revision>2</cp:revision>
  <dcterms:created xsi:type="dcterms:W3CDTF">2026-05-27T22:38:00Z</dcterms:created>
  <dcterms:modified xsi:type="dcterms:W3CDTF">2026-05-27T22:38:00Z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bc19eb08-8e1b-41ca-91f1-e5722d3cba9f</vt:lpwstr>
  </property>
</Properties>
</file>