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3901" w14:textId="77777777" w:rsidR="00C7581C" w:rsidRPr="006945D8" w:rsidRDefault="00C7581C" w:rsidP="00C758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Alternative 2 — Transdermal Dissolving Microneedle Patch Array</w:t>
      </w:r>
    </w:p>
    <w:p w14:paraId="28B3A59E" w14:textId="523CE7BA" w:rsidR="00C7581C" w:rsidRPr="006945D8" w:rsidRDefault="00C7581C" w:rsidP="00C75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Concept and rationale.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 xml:space="preserve">Develop a dissolving microneedle patch for self-administration. Proposed materials: hyaluronic acid or PVP/PVA matrix, trehalose-stabilized emicizumab in the needle tips, 500–800 μm needle height, and a 5 × 5 cm patch. </w:t>
      </w:r>
      <w:r w:rsidR="003841B8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selected patch size</w:t>
      </w:r>
      <w:r w:rsidR="00F33F5F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is based on the need to deliver a clinically relevant dose that corresponds to adult weekly requirements while allowing</w:t>
      </w:r>
      <w:r w:rsidR="00EB7392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for the maximum practical payload capacity</w:t>
      </w:r>
      <w:r w:rsidR="0033603C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using current antibody microarray technology.</w:t>
      </w:r>
      <w:r w:rsidR="00280F01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1</w:t>
      </w:r>
      <w:r w:rsidR="0033603C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patch would bypass the stratum corneum and deposit emicizumab into the viable epidermis/dermis, where lymphatic uptake could support systemic absorption.</w:t>
      </w:r>
    </w:p>
    <w:p w14:paraId="0EE57877" w14:textId="68DF9044" w:rsidR="00C7581C" w:rsidRPr="006945D8" w:rsidRDefault="00C7581C" w:rsidP="00C75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This route fits emicizumab’s antibody nature because it avoids oral degradation and does not require cell entry. Microneedle platforms are being developed for biologics, including antibodies,</w:t>
      </w:r>
      <w:r w:rsidR="00540E42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4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and a long-acting microarray patch strategy has </w:t>
      </w:r>
      <w:r w:rsidR="00BD1A12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demonstrated proof of concept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for thermally stabilized antibody delivery with programmable release.</w:t>
      </w:r>
      <w:r w:rsidR="00C246FC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1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144B2D72" w14:textId="03B6B76D" w:rsidR="00C7581C" w:rsidRPr="000424ED" w:rsidRDefault="00C7581C" w:rsidP="00C75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</w:pPr>
      <w:r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Dose, schedule, and cost estimate.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 xml:space="preserve">Because emicizumab is </w:t>
      </w:r>
      <w:r w:rsidR="0079301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 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high</w:t>
      </w:r>
      <w:r w:rsidR="00D90E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dose for a patch product, dose capacity is the limiting factor. Published antibody microarray work reports approximately 4.5 mg/cm² IgG loading in a 1 × 1 cm patch using powder filling.</w:t>
      </w:r>
      <w:r w:rsidR="000424ED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1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 25 cm² patch would therefore carry roughly 112 mg before delivery losses, which is close to the 105 mg weekly dose for a 70 kg adult.</w:t>
      </w:r>
      <w:r w:rsidR="000424ED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2,3</w:t>
      </w:r>
    </w:p>
    <w:p w14:paraId="231B3B71" w14:textId="77777777" w:rsidR="00C7581C" w:rsidRPr="006945D8" w:rsidRDefault="00C7581C" w:rsidP="00C75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Proposed schedule: </w:t>
      </w:r>
      <w:r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one 5 × 5 cm patch weekly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66C42D66" w14:textId="73FA7F4C" w:rsidR="00C7581C" w:rsidRPr="006945D8" w:rsidRDefault="00C7581C" w:rsidP="00C758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Clinical target = 105 mg/week delivered</w:t>
      </w:r>
      <w:r w:rsidR="00A50E44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A50E44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3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</w:p>
    <w:p w14:paraId="0F0E899C" w14:textId="156C3A05" w:rsidR="00C7581C" w:rsidRPr="006945D8" w:rsidRDefault="00C7581C" w:rsidP="00C758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Assume 90% delivery efficiency </w:t>
      </w:r>
      <w:r w:rsidR="00A50E44">
        <w:rPr>
          <w:rFonts w:ascii="Arial" w:hAnsi="Arial" w:cs="Arial"/>
          <w:sz w:val="22"/>
          <w:szCs w:val="22"/>
          <w:vertAlign w:val="superscript"/>
        </w:rPr>
        <w:t>4</w:t>
      </w:r>
    </w:p>
    <w:p w14:paraId="3BC1DA32" w14:textId="77777777" w:rsidR="00C7581C" w:rsidRPr="006945D8" w:rsidRDefault="00C7581C" w:rsidP="00C758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Required loaded dose = 105 mg / 0.90 = 117 mg/week </w:t>
      </w:r>
    </w:p>
    <w:p w14:paraId="16DC96AB" w14:textId="77777777" w:rsidR="00C7581C" w:rsidRPr="006945D8" w:rsidRDefault="00C7581C" w:rsidP="00C758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Annual loaded dose = 117 mg/week × 52 = 6,067 mg/year </w:t>
      </w:r>
    </w:p>
    <w:p w14:paraId="278CE42E" w14:textId="2B321DA9" w:rsidR="00C7581C" w:rsidRPr="006945D8" w:rsidRDefault="00C7581C" w:rsidP="00C758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API-equivalent cost = 6,067 mg × $122.05/mg = ~$740,437/year </w:t>
      </w:r>
      <w:r w:rsidR="00A50E44">
        <w:rPr>
          <w:rFonts w:ascii="Arial" w:eastAsia="Times New Roman" w:hAnsi="Arial" w:cs="Arial"/>
          <w:kern w:val="0"/>
          <w:vertAlign w:val="superscript"/>
          <w14:ligatures w14:val="none"/>
        </w:rPr>
        <w:t>5</w:t>
      </w:r>
    </w:p>
    <w:p w14:paraId="631A8C2E" w14:textId="77777777" w:rsidR="00C7581C" w:rsidRPr="006945D8" w:rsidRDefault="00C7581C" w:rsidP="00C758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Add $100/patch device and packaging cost × 52 = $5,200/year </w:t>
      </w:r>
    </w:p>
    <w:p w14:paraId="0C80A7E4" w14:textId="299FEF28" w:rsidR="00C7581C" w:rsidRPr="006945D8" w:rsidRDefault="00C7581C" w:rsidP="00C758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Estimated annual cost = ~$746,000/year </w:t>
      </w:r>
      <w:r w:rsidR="00A50E44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5</w:t>
      </w:r>
    </w:p>
    <w:p w14:paraId="3EB58DE0" w14:textId="2EDECC6C" w:rsidR="00C7581C" w:rsidRPr="009826D0" w:rsidRDefault="00C7581C" w:rsidP="00C75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</w:pPr>
      <w:r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Expected P</w:t>
      </w:r>
      <w:r w:rsidR="00825564"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harmacokinetic Performance</w:t>
      </w:r>
      <w:r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.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 xml:space="preserve">Expected absorption would be faster than </w:t>
      </w:r>
      <w:r w:rsidR="00E23766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the current subcutaneous </w:t>
      </w:r>
      <w:r w:rsidR="00C72C20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injection but</w:t>
      </w:r>
      <w:r w:rsidR="00E23766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would still be 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governed by lymphatic uptake and IgG catabolism. Half-life should remain close to the current 26.9 days after systemic absorption. </w:t>
      </w:r>
      <w:r w:rsidR="00CA7690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 xml:space="preserve">5 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With weekly dosing and 70–90% bioavailability, troughs could remain near </w:t>
      </w:r>
      <w:r w:rsidRPr="00CA7690">
        <w:rPr>
          <w:rFonts w:ascii="Arial" w:eastAsia="Times New Roman" w:hAnsi="Arial" w:cs="Arial"/>
          <w:kern w:val="0"/>
          <w:sz w:val="22"/>
          <w:szCs w:val="22"/>
          <w14:ligatures w14:val="none"/>
        </w:rPr>
        <w:t>45–50 μg/mL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, but incomplete patch insertion or patch detachment could cause underdosing.</w:t>
      </w:r>
      <w:r w:rsidR="00411DEA"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9826D0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2,5</w:t>
      </w:r>
    </w:p>
    <w:p w14:paraId="56109F1E" w14:textId="04524A9A" w:rsidR="00C7581C" w:rsidRPr="006945D8" w:rsidRDefault="00C7581C" w:rsidP="00C75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Acceptance and adoption.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Patient acceptance could be excellent for children, needle-averse patients, and patients who dislike injections. However, current emicizumab already supports every-4-week subcutaneous dosing, so a weekly patch must be nearly painless, reliable, and very easy to use to justify switching.</w:t>
      </w:r>
      <w:r w:rsidR="00655C84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>3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Physician adoption would depend on demonstrated complete dose delivery, skin tolerability, and low immunogenicity.</w:t>
      </w:r>
    </w:p>
    <w:p w14:paraId="56B52C72" w14:textId="4558C40B" w:rsidR="00C7581C" w:rsidRPr="006945D8" w:rsidRDefault="00C7581C" w:rsidP="00C758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6945D8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Additional factors.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This is a drug-device combination product with challenging manufacturing requirements: dose uniformity, mechanical strength, moisture control, solid-state antibody stability, and reliable insertion across skin types.</w:t>
      </w:r>
      <w:r w:rsidR="002F7BF5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="002F7BF5">
        <w:rPr>
          <w:rFonts w:ascii="Arial" w:eastAsia="Times New Roman" w:hAnsi="Arial" w:cs="Arial"/>
          <w:kern w:val="0"/>
          <w:sz w:val="22"/>
          <w:szCs w:val="22"/>
          <w:vertAlign w:val="superscript"/>
          <w14:ligatures w14:val="none"/>
        </w:rPr>
        <w:t xml:space="preserve">6 </w:t>
      </w:r>
      <w:r w:rsidRPr="006945D8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largest commercial weakness is that a monthly emicizumab-equivalent patch would require roughly four times the weekly payload and would likely be too large or require multiple patches.</w:t>
      </w:r>
    </w:p>
    <w:p w14:paraId="34B8550C" w14:textId="77777777" w:rsidR="00F030F0" w:rsidRDefault="00F030F0" w:rsidP="00BE4BFC">
      <w:pPr>
        <w:spacing w:before="120" w:after="120"/>
        <w:rPr>
          <w:rFonts w:ascii="Arial" w:hAnsi="Arial" w:cs="Arial"/>
          <w:b/>
          <w:bCs/>
          <w:sz w:val="22"/>
          <w:szCs w:val="22"/>
        </w:rPr>
      </w:pPr>
    </w:p>
    <w:p w14:paraId="0252C388" w14:textId="77777777" w:rsidR="00F030F0" w:rsidRDefault="00F030F0" w:rsidP="00BE4BFC">
      <w:pPr>
        <w:spacing w:before="120" w:after="120"/>
        <w:rPr>
          <w:rFonts w:ascii="Arial" w:hAnsi="Arial" w:cs="Arial"/>
          <w:b/>
          <w:bCs/>
          <w:sz w:val="22"/>
          <w:szCs w:val="22"/>
        </w:rPr>
      </w:pPr>
    </w:p>
    <w:p w14:paraId="48AA13F3" w14:textId="77777777" w:rsidR="00F030F0" w:rsidRDefault="00F030F0" w:rsidP="00BE4BFC">
      <w:pPr>
        <w:spacing w:before="120" w:after="120"/>
        <w:rPr>
          <w:rFonts w:ascii="Arial" w:hAnsi="Arial" w:cs="Arial"/>
          <w:b/>
          <w:bCs/>
          <w:sz w:val="22"/>
          <w:szCs w:val="22"/>
        </w:rPr>
      </w:pPr>
    </w:p>
    <w:p w14:paraId="15F55734" w14:textId="77777777" w:rsidR="00F030F0" w:rsidRDefault="00F030F0" w:rsidP="00BE4BFC">
      <w:pPr>
        <w:spacing w:before="120" w:after="120"/>
        <w:rPr>
          <w:rFonts w:ascii="Arial" w:hAnsi="Arial" w:cs="Arial"/>
          <w:b/>
          <w:bCs/>
          <w:sz w:val="22"/>
          <w:szCs w:val="22"/>
        </w:rPr>
      </w:pPr>
    </w:p>
    <w:p w14:paraId="47235CFB" w14:textId="3FCC26B2" w:rsidR="00BE4BFC" w:rsidRPr="00F030F0" w:rsidRDefault="00BE4BFC" w:rsidP="00BE4BFC">
      <w:pPr>
        <w:spacing w:before="120" w:after="120"/>
        <w:rPr>
          <w:rFonts w:ascii="Arial" w:hAnsi="Arial" w:cs="Arial"/>
          <w:b/>
          <w:bCs/>
          <w:sz w:val="22"/>
          <w:szCs w:val="22"/>
        </w:rPr>
      </w:pPr>
      <w:r w:rsidRPr="00F030F0">
        <w:rPr>
          <w:rFonts w:ascii="Arial" w:hAnsi="Arial" w:cs="Arial"/>
          <w:b/>
          <w:bCs/>
          <w:sz w:val="22"/>
          <w:szCs w:val="22"/>
        </w:rPr>
        <w:lastRenderedPageBreak/>
        <w:t>References</w:t>
      </w:r>
    </w:p>
    <w:p w14:paraId="32B2F2C2" w14:textId="77777777" w:rsidR="00BE4BFC" w:rsidRPr="006945D8" w:rsidRDefault="00BE4BFC" w:rsidP="00BE4BFC">
      <w:pPr>
        <w:spacing w:before="120" w:after="120"/>
        <w:rPr>
          <w:rFonts w:ascii="Arial" w:hAnsi="Arial" w:cs="Arial"/>
          <w:sz w:val="22"/>
          <w:szCs w:val="22"/>
        </w:rPr>
      </w:pPr>
    </w:p>
    <w:p w14:paraId="56194AEC" w14:textId="7E68930F" w:rsidR="00B12B89" w:rsidRPr="00157978" w:rsidRDefault="00B12B89" w:rsidP="00157978">
      <w:pPr>
        <w:pStyle w:val="ListParagraph"/>
        <w:numPr>
          <w:ilvl w:val="0"/>
          <w:numId w:val="2"/>
        </w:numPr>
        <w:spacing w:after="120"/>
        <w:rPr>
          <w:rFonts w:ascii="Arial" w:hAnsi="Arial"/>
          <w:sz w:val="20"/>
        </w:rPr>
      </w:pPr>
      <w:r w:rsidRPr="00157978">
        <w:rPr>
          <w:rFonts w:ascii="Arial" w:hAnsi="Arial"/>
          <w:sz w:val="20"/>
        </w:rPr>
        <w:t xml:space="preserve">Tran, K. T. M.; Le, T. T.; Agrahari, V.; Peet, M. M.; Ouattara, L. A.; Anderson, S. M.; Le-Kim, T. H.; Singh, O. N.; Doncel, G. F.; Nguyen, T. D. Single-Administration Long-Acting Microarray Patch with Ultrahigh Loading Capacity and Multiple Releases of Thermally Stable Antibodies. </w:t>
      </w:r>
      <w:r w:rsidRPr="00157978">
        <w:rPr>
          <w:rFonts w:ascii="Arial" w:hAnsi="Arial"/>
          <w:i/>
          <w:sz w:val="20"/>
        </w:rPr>
        <w:t>Mol. Pharmaceutics</w:t>
      </w:r>
      <w:r w:rsidRPr="00157978">
        <w:rPr>
          <w:rFonts w:ascii="Arial" w:hAnsi="Arial"/>
          <w:sz w:val="20"/>
        </w:rPr>
        <w:t xml:space="preserve"> 2023, </w:t>
      </w:r>
      <w:r w:rsidRPr="00157978">
        <w:rPr>
          <w:rFonts w:ascii="Arial" w:hAnsi="Arial"/>
          <w:b/>
          <w:i/>
          <w:sz w:val="20"/>
        </w:rPr>
        <w:t>20</w:t>
      </w:r>
      <w:r w:rsidRPr="00157978">
        <w:rPr>
          <w:rFonts w:ascii="Arial" w:hAnsi="Arial"/>
          <w:sz w:val="20"/>
        </w:rPr>
        <w:t xml:space="preserve"> (5), 2352-2361. </w:t>
      </w:r>
      <w:hyperlink r:id="rId5" w:history="1">
        <w:r w:rsidR="00157978" w:rsidRPr="00157978">
          <w:rPr>
            <w:rStyle w:val="Hyperlink"/>
            <w:rFonts w:ascii="Arial" w:hAnsi="Arial"/>
            <w:sz w:val="20"/>
          </w:rPr>
          <w:t>https://doi.org/10.1021/acs.molpharmaceut.2c00919</w:t>
        </w:r>
      </w:hyperlink>
      <w:r w:rsidRPr="00157978">
        <w:rPr>
          <w:rFonts w:ascii="Arial" w:hAnsi="Arial"/>
          <w:sz w:val="20"/>
        </w:rPr>
        <w:t>.</w:t>
      </w:r>
    </w:p>
    <w:p w14:paraId="0119861B" w14:textId="77777777" w:rsidR="00157978" w:rsidRDefault="00157978" w:rsidP="00DB6384">
      <w:pPr>
        <w:pStyle w:val="ListParagraph"/>
        <w:spacing w:after="120"/>
      </w:pPr>
    </w:p>
    <w:p w14:paraId="491E4CBC" w14:textId="77777777" w:rsidR="00A91063" w:rsidRDefault="00B12B89" w:rsidP="00A91063">
      <w:pPr>
        <w:pStyle w:val="ListParagraph"/>
        <w:numPr>
          <w:ilvl w:val="0"/>
          <w:numId w:val="2"/>
        </w:numPr>
        <w:spacing w:after="120"/>
        <w:rPr>
          <w:rFonts w:ascii="Arial" w:hAnsi="Arial"/>
          <w:sz w:val="20"/>
        </w:rPr>
      </w:pPr>
      <w:r w:rsidRPr="00157978">
        <w:rPr>
          <w:rFonts w:ascii="Arial" w:hAnsi="Arial"/>
          <w:sz w:val="20"/>
        </w:rPr>
        <w:t xml:space="preserve">Retout, S.; Schmitt, C.; Petry, C.; Mercier, F.; Frey, N. Population Pharmacokinetic Analysis and Exploratory Exposure-Bleeding Rate Relationship of Emicizumab in Adult and Pediatric Persons with Hemophilia A. </w:t>
      </w:r>
      <w:r w:rsidRPr="00157978">
        <w:rPr>
          <w:rFonts w:ascii="Arial" w:hAnsi="Arial"/>
          <w:i/>
          <w:sz w:val="20"/>
        </w:rPr>
        <w:t>Clin. Pharmacokinet.</w:t>
      </w:r>
      <w:r w:rsidRPr="00157978">
        <w:rPr>
          <w:rFonts w:ascii="Arial" w:hAnsi="Arial"/>
          <w:sz w:val="20"/>
        </w:rPr>
        <w:t xml:space="preserve"> 2020, </w:t>
      </w:r>
      <w:r w:rsidRPr="00157978">
        <w:rPr>
          <w:rFonts w:ascii="Arial" w:hAnsi="Arial"/>
          <w:b/>
          <w:i/>
          <w:sz w:val="20"/>
        </w:rPr>
        <w:t>59</w:t>
      </w:r>
      <w:r w:rsidRPr="00157978">
        <w:rPr>
          <w:rFonts w:ascii="Arial" w:hAnsi="Arial"/>
          <w:sz w:val="20"/>
        </w:rPr>
        <w:t xml:space="preserve"> (12), 1611-1625. </w:t>
      </w:r>
      <w:hyperlink r:id="rId6" w:history="1">
        <w:r w:rsidR="00157978" w:rsidRPr="00157978">
          <w:rPr>
            <w:rStyle w:val="Hyperlink"/>
            <w:rFonts w:ascii="Arial" w:hAnsi="Arial"/>
            <w:sz w:val="20"/>
          </w:rPr>
          <w:t>https://doi.org/10.1007/s40262-020-00904-z</w:t>
        </w:r>
      </w:hyperlink>
      <w:r w:rsidRPr="00157978">
        <w:rPr>
          <w:rFonts w:ascii="Arial" w:hAnsi="Arial"/>
          <w:sz w:val="20"/>
        </w:rPr>
        <w:t>.</w:t>
      </w:r>
    </w:p>
    <w:p w14:paraId="2A729AA5" w14:textId="77777777" w:rsidR="00A91063" w:rsidRPr="00A91063" w:rsidRDefault="00A91063" w:rsidP="00A91063">
      <w:pPr>
        <w:pStyle w:val="ListParagraph"/>
        <w:rPr>
          <w:rFonts w:ascii="Arial" w:hAnsi="Arial"/>
          <w:sz w:val="20"/>
        </w:rPr>
      </w:pPr>
    </w:p>
    <w:p w14:paraId="607B2F84" w14:textId="77777777" w:rsidR="00A91063" w:rsidRDefault="00B12B89" w:rsidP="00A91063">
      <w:pPr>
        <w:pStyle w:val="ListParagraph"/>
        <w:numPr>
          <w:ilvl w:val="0"/>
          <w:numId w:val="2"/>
        </w:numPr>
        <w:spacing w:after="120"/>
        <w:rPr>
          <w:rFonts w:ascii="Arial" w:hAnsi="Arial"/>
          <w:sz w:val="20"/>
        </w:rPr>
      </w:pPr>
      <w:r w:rsidRPr="00A91063">
        <w:rPr>
          <w:rFonts w:ascii="Arial" w:hAnsi="Arial"/>
          <w:sz w:val="20"/>
        </w:rPr>
        <w:t xml:space="preserve">Drugs.com. Emicizumab Dosage Guide + Max Dose, Adjustments. </w:t>
      </w:r>
      <w:r w:rsidRPr="00A91063">
        <w:rPr>
          <w:rFonts w:ascii="Arial" w:hAnsi="Arial"/>
          <w:i/>
          <w:sz w:val="20"/>
        </w:rPr>
        <w:t>Drugs.com</w:t>
      </w:r>
      <w:r w:rsidRPr="00A91063">
        <w:rPr>
          <w:rFonts w:ascii="Arial" w:hAnsi="Arial"/>
          <w:sz w:val="20"/>
        </w:rPr>
        <w:t xml:space="preserve"> 2024. </w:t>
      </w:r>
      <w:hyperlink r:id="rId7" w:history="1">
        <w:r w:rsidR="00A91063" w:rsidRPr="00A91063">
          <w:rPr>
            <w:rStyle w:val="Hyperlink"/>
            <w:rFonts w:ascii="Arial" w:hAnsi="Arial"/>
            <w:sz w:val="20"/>
          </w:rPr>
          <w:t>https://www.drugs.com/dosage/emicizumab.html</w:t>
        </w:r>
      </w:hyperlink>
      <w:r w:rsidR="008A5240" w:rsidRPr="00A91063">
        <w:rPr>
          <w:rFonts w:ascii="Arial" w:hAnsi="Arial"/>
          <w:sz w:val="20"/>
        </w:rPr>
        <w:t xml:space="preserve"> </w:t>
      </w:r>
      <w:r w:rsidRPr="00A91063">
        <w:rPr>
          <w:rFonts w:ascii="Arial" w:hAnsi="Arial"/>
          <w:sz w:val="20"/>
        </w:rPr>
        <w:t>(accessed 2026-05-25).</w:t>
      </w:r>
    </w:p>
    <w:p w14:paraId="70DAC499" w14:textId="77777777" w:rsidR="00A91063" w:rsidRPr="00A91063" w:rsidRDefault="00A91063" w:rsidP="00A91063">
      <w:pPr>
        <w:pStyle w:val="ListParagraph"/>
        <w:rPr>
          <w:rFonts w:ascii="Arial" w:hAnsi="Arial"/>
          <w:sz w:val="20"/>
        </w:rPr>
      </w:pPr>
    </w:p>
    <w:p w14:paraId="75C2483C" w14:textId="46643D06" w:rsidR="00A91063" w:rsidRDefault="00B12B89" w:rsidP="00A91063">
      <w:pPr>
        <w:pStyle w:val="ListParagraph"/>
        <w:numPr>
          <w:ilvl w:val="0"/>
          <w:numId w:val="2"/>
        </w:numPr>
        <w:spacing w:after="120"/>
        <w:rPr>
          <w:rFonts w:ascii="Arial" w:hAnsi="Arial"/>
          <w:sz w:val="20"/>
        </w:rPr>
      </w:pPr>
      <w:r w:rsidRPr="00A91063">
        <w:rPr>
          <w:rFonts w:ascii="Arial" w:hAnsi="Arial"/>
          <w:sz w:val="20"/>
        </w:rPr>
        <w:t xml:space="preserve">Kirkby, M.; Hutton, A. R. J.; Donnelly, R. F. Microneedle Mediated Transdermal Delivery of Protein, Peptide and Antibody Based Therapeutics: Current Status and Future Considerations. </w:t>
      </w:r>
      <w:r w:rsidRPr="00A91063">
        <w:rPr>
          <w:rFonts w:ascii="Arial" w:hAnsi="Arial"/>
          <w:i/>
          <w:sz w:val="20"/>
        </w:rPr>
        <w:t>Pharm. Res.</w:t>
      </w:r>
      <w:r w:rsidRPr="00A91063">
        <w:rPr>
          <w:rFonts w:ascii="Arial" w:hAnsi="Arial"/>
          <w:sz w:val="20"/>
        </w:rPr>
        <w:t xml:space="preserve"> 2020, </w:t>
      </w:r>
      <w:r w:rsidRPr="00A91063">
        <w:rPr>
          <w:rFonts w:ascii="Arial" w:hAnsi="Arial"/>
          <w:b/>
          <w:i/>
          <w:sz w:val="20"/>
        </w:rPr>
        <w:t>37</w:t>
      </w:r>
      <w:r w:rsidRPr="00A91063">
        <w:rPr>
          <w:rFonts w:ascii="Arial" w:hAnsi="Arial"/>
          <w:sz w:val="20"/>
        </w:rPr>
        <w:t xml:space="preserve"> (6), 117. </w:t>
      </w:r>
      <w:hyperlink r:id="rId8" w:history="1">
        <w:r w:rsidR="00A91063" w:rsidRPr="00E801BA">
          <w:rPr>
            <w:rStyle w:val="Hyperlink"/>
            <w:rFonts w:ascii="Arial" w:hAnsi="Arial"/>
            <w:sz w:val="20"/>
          </w:rPr>
          <w:t>https://doi.org/10.1007/s11095-020-02844-6</w:t>
        </w:r>
      </w:hyperlink>
      <w:r w:rsidRPr="00A91063">
        <w:rPr>
          <w:rFonts w:ascii="Arial" w:hAnsi="Arial"/>
          <w:sz w:val="20"/>
        </w:rPr>
        <w:t>.</w:t>
      </w:r>
    </w:p>
    <w:p w14:paraId="0E85F96E" w14:textId="77777777" w:rsidR="00A91063" w:rsidRPr="00A91063" w:rsidRDefault="00A91063" w:rsidP="00A91063">
      <w:pPr>
        <w:pStyle w:val="ListParagraph"/>
        <w:rPr>
          <w:rFonts w:ascii="Arial" w:hAnsi="Arial"/>
          <w:sz w:val="20"/>
        </w:rPr>
      </w:pPr>
    </w:p>
    <w:p w14:paraId="3FC2A63B" w14:textId="77777777" w:rsidR="00A91063" w:rsidRDefault="00B12B89" w:rsidP="00A91063">
      <w:pPr>
        <w:pStyle w:val="ListParagraph"/>
        <w:numPr>
          <w:ilvl w:val="0"/>
          <w:numId w:val="2"/>
        </w:numPr>
        <w:spacing w:after="120"/>
        <w:rPr>
          <w:rFonts w:ascii="Arial" w:hAnsi="Arial"/>
          <w:sz w:val="20"/>
        </w:rPr>
      </w:pPr>
      <w:r w:rsidRPr="00A91063">
        <w:rPr>
          <w:rFonts w:ascii="Arial" w:hAnsi="Arial"/>
          <w:sz w:val="20"/>
        </w:rPr>
        <w:t xml:space="preserve">Parisi, K.; Kumar, A. Emicizumab. In </w:t>
      </w:r>
      <w:r w:rsidRPr="00A91063">
        <w:rPr>
          <w:rFonts w:ascii="Arial" w:hAnsi="Arial"/>
          <w:i/>
          <w:sz w:val="20"/>
        </w:rPr>
        <w:t>StatPearls</w:t>
      </w:r>
      <w:r w:rsidRPr="00A91063">
        <w:rPr>
          <w:rFonts w:ascii="Arial" w:hAnsi="Arial"/>
          <w:sz w:val="20"/>
        </w:rPr>
        <w:t xml:space="preserve">; StatPearls Publishing: Treasure Island, FL, 2023. </w:t>
      </w:r>
      <w:hyperlink r:id="rId9" w:history="1">
        <w:r w:rsidR="00DB6384" w:rsidRPr="00A91063">
          <w:rPr>
            <w:rStyle w:val="Hyperlink"/>
            <w:rFonts w:ascii="Arial" w:hAnsi="Arial"/>
            <w:sz w:val="20"/>
          </w:rPr>
          <w:t>https://www.ncbi.nlm.nih.gov/books/NBK559180</w:t>
        </w:r>
        <w:r w:rsidR="00DB6384" w:rsidRPr="00A91063">
          <w:rPr>
            <w:rStyle w:val="Hyperlink"/>
            <w:rFonts w:ascii="Arial" w:hAnsi="Arial"/>
            <w:sz w:val="20"/>
          </w:rPr>
          <w:t>/</w:t>
        </w:r>
      </w:hyperlink>
      <w:r w:rsidR="00A86D43" w:rsidRPr="00A91063">
        <w:rPr>
          <w:rFonts w:ascii="Arial" w:hAnsi="Arial"/>
          <w:sz w:val="20"/>
        </w:rPr>
        <w:t xml:space="preserve"> </w:t>
      </w:r>
      <w:r w:rsidRPr="00A91063">
        <w:rPr>
          <w:rFonts w:ascii="Arial" w:hAnsi="Arial"/>
          <w:sz w:val="20"/>
        </w:rPr>
        <w:t>(accessed 2026-05-25).</w:t>
      </w:r>
    </w:p>
    <w:p w14:paraId="296FF17D" w14:textId="77777777" w:rsidR="00A91063" w:rsidRPr="00A91063" w:rsidRDefault="00A91063" w:rsidP="00A91063">
      <w:pPr>
        <w:pStyle w:val="ListParagraph"/>
        <w:rPr>
          <w:rFonts w:ascii="Arial" w:hAnsi="Arial"/>
          <w:sz w:val="20"/>
        </w:rPr>
      </w:pPr>
    </w:p>
    <w:p w14:paraId="36C0B7A8" w14:textId="560959B0" w:rsidR="00B12B89" w:rsidRPr="00A91063" w:rsidRDefault="00B12B89" w:rsidP="00A91063">
      <w:pPr>
        <w:pStyle w:val="ListParagraph"/>
        <w:numPr>
          <w:ilvl w:val="0"/>
          <w:numId w:val="2"/>
        </w:numPr>
        <w:spacing w:after="120"/>
        <w:rPr>
          <w:rFonts w:ascii="Arial" w:hAnsi="Arial"/>
          <w:sz w:val="20"/>
        </w:rPr>
      </w:pPr>
      <w:r w:rsidRPr="00A91063">
        <w:rPr>
          <w:rFonts w:ascii="Arial" w:hAnsi="Arial"/>
          <w:sz w:val="20"/>
        </w:rPr>
        <w:t xml:space="preserve">Koenitz, L.; Crean, A.; Vucen, S. Stress Factors Affecting Protein Stability during the Fabrication and Storage of Dissolvable Microneedles. </w:t>
      </w:r>
      <w:r w:rsidRPr="00A91063">
        <w:rPr>
          <w:rFonts w:ascii="Arial" w:hAnsi="Arial"/>
          <w:i/>
          <w:sz w:val="20"/>
        </w:rPr>
        <w:t>RPS Pharm. Pharmacol. Rep.</w:t>
      </w:r>
      <w:r w:rsidRPr="00A91063">
        <w:rPr>
          <w:rFonts w:ascii="Arial" w:hAnsi="Arial"/>
          <w:sz w:val="20"/>
        </w:rPr>
        <w:t xml:space="preserve"> 2024, </w:t>
      </w:r>
      <w:r w:rsidRPr="00A91063">
        <w:rPr>
          <w:rFonts w:ascii="Arial" w:hAnsi="Arial"/>
          <w:b/>
          <w:i/>
          <w:sz w:val="20"/>
        </w:rPr>
        <w:t>3</w:t>
      </w:r>
      <w:r w:rsidRPr="00A91063">
        <w:rPr>
          <w:rFonts w:ascii="Arial" w:hAnsi="Arial"/>
          <w:sz w:val="20"/>
        </w:rPr>
        <w:t xml:space="preserve"> (3), rqae018. </w:t>
      </w:r>
      <w:hyperlink r:id="rId10" w:history="1">
        <w:r w:rsidR="00A86D43" w:rsidRPr="00A91063">
          <w:rPr>
            <w:rStyle w:val="Hyperlink"/>
            <w:rFonts w:ascii="Arial" w:hAnsi="Arial"/>
            <w:sz w:val="20"/>
          </w:rPr>
          <w:t>https://doi.org/10.1093/rpsppr/rqae018</w:t>
        </w:r>
      </w:hyperlink>
      <w:r w:rsidRPr="00A91063">
        <w:rPr>
          <w:rFonts w:ascii="Arial" w:hAnsi="Arial"/>
          <w:sz w:val="20"/>
        </w:rPr>
        <w:t>.</w:t>
      </w:r>
    </w:p>
    <w:p w14:paraId="5E16C679" w14:textId="77777777" w:rsidR="00A86D43" w:rsidRDefault="00A86D43" w:rsidP="00B12B89">
      <w:pPr>
        <w:spacing w:after="120"/>
        <w:ind w:left="360" w:hanging="360"/>
      </w:pPr>
    </w:p>
    <w:p w14:paraId="43E0332D" w14:textId="77777777" w:rsidR="005930BC" w:rsidRPr="005930BC" w:rsidRDefault="005930BC" w:rsidP="005930BC">
      <w:pPr>
        <w:spacing w:before="120" w:after="120"/>
      </w:pPr>
    </w:p>
    <w:p w14:paraId="49A63309" w14:textId="77777777" w:rsidR="005930BC" w:rsidRDefault="005930BC" w:rsidP="005930BC">
      <w:pPr>
        <w:spacing w:before="120" w:after="120"/>
      </w:pPr>
    </w:p>
    <w:p w14:paraId="11AABC4D" w14:textId="77777777" w:rsidR="005930BC" w:rsidRPr="005930BC" w:rsidRDefault="005930BC" w:rsidP="005930BC">
      <w:pPr>
        <w:spacing w:before="120" w:after="120"/>
      </w:pPr>
    </w:p>
    <w:p w14:paraId="5765509B" w14:textId="77777777" w:rsidR="00AF0478" w:rsidRPr="00AF0478" w:rsidRDefault="00AF0478" w:rsidP="00AF0478">
      <w:pPr>
        <w:spacing w:before="120" w:after="120"/>
      </w:pPr>
    </w:p>
    <w:p w14:paraId="7A0998BC" w14:textId="77777777" w:rsidR="008847BA" w:rsidRDefault="008847BA" w:rsidP="005F3E49">
      <w:pPr>
        <w:spacing w:before="120" w:after="120"/>
      </w:pPr>
    </w:p>
    <w:p w14:paraId="42BA9B60" w14:textId="77777777" w:rsidR="005F3E49" w:rsidRDefault="005F3E49" w:rsidP="005F3E49">
      <w:pPr>
        <w:spacing w:before="120" w:after="120"/>
      </w:pPr>
    </w:p>
    <w:p w14:paraId="14E1B952" w14:textId="77777777" w:rsidR="00315B13" w:rsidRDefault="00315B13" w:rsidP="00315B13">
      <w:pPr>
        <w:spacing w:before="120" w:after="120"/>
      </w:pPr>
    </w:p>
    <w:p w14:paraId="1E14D784" w14:textId="77777777" w:rsidR="00315B13" w:rsidRDefault="00315B13" w:rsidP="00BE4BFC">
      <w:pPr>
        <w:spacing w:before="120" w:after="120"/>
      </w:pPr>
    </w:p>
    <w:p w14:paraId="25F1BD26" w14:textId="77777777" w:rsidR="00B91E33" w:rsidRDefault="00B91E33"/>
    <w:sectPr w:rsidR="00B91E33" w:rsidSect="00F030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3BAE"/>
    <w:multiLevelType w:val="hybridMultilevel"/>
    <w:tmpl w:val="AA8EB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E6910"/>
    <w:multiLevelType w:val="multilevel"/>
    <w:tmpl w:val="B8C4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019498">
    <w:abstractNumId w:val="1"/>
  </w:num>
  <w:num w:numId="2" w16cid:durableId="68683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1C"/>
    <w:rsid w:val="000424ED"/>
    <w:rsid w:val="000C0866"/>
    <w:rsid w:val="00157978"/>
    <w:rsid w:val="00206F9B"/>
    <w:rsid w:val="00280F01"/>
    <w:rsid w:val="002F7BF5"/>
    <w:rsid w:val="00315B13"/>
    <w:rsid w:val="0033603C"/>
    <w:rsid w:val="003841B8"/>
    <w:rsid w:val="00411DEA"/>
    <w:rsid w:val="004B78C2"/>
    <w:rsid w:val="004E60EC"/>
    <w:rsid w:val="00540E42"/>
    <w:rsid w:val="005930BC"/>
    <w:rsid w:val="005F3E49"/>
    <w:rsid w:val="00655C84"/>
    <w:rsid w:val="006945D8"/>
    <w:rsid w:val="00793015"/>
    <w:rsid w:val="00825564"/>
    <w:rsid w:val="008847BA"/>
    <w:rsid w:val="008A4359"/>
    <w:rsid w:val="008A5240"/>
    <w:rsid w:val="008C16E6"/>
    <w:rsid w:val="009826D0"/>
    <w:rsid w:val="00A50E44"/>
    <w:rsid w:val="00A83114"/>
    <w:rsid w:val="00A86D43"/>
    <w:rsid w:val="00A91063"/>
    <w:rsid w:val="00AF0478"/>
    <w:rsid w:val="00B12B89"/>
    <w:rsid w:val="00B90BC7"/>
    <w:rsid w:val="00B91E33"/>
    <w:rsid w:val="00BD1A12"/>
    <w:rsid w:val="00BE4BFC"/>
    <w:rsid w:val="00C246FC"/>
    <w:rsid w:val="00C40109"/>
    <w:rsid w:val="00C72C20"/>
    <w:rsid w:val="00C7581C"/>
    <w:rsid w:val="00CA7690"/>
    <w:rsid w:val="00D00B6D"/>
    <w:rsid w:val="00D90E89"/>
    <w:rsid w:val="00DB6384"/>
    <w:rsid w:val="00E23766"/>
    <w:rsid w:val="00EB7392"/>
    <w:rsid w:val="00ED4834"/>
    <w:rsid w:val="00F030F0"/>
    <w:rsid w:val="00F3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C7FC"/>
  <w15:chartTrackingRefBased/>
  <w15:docId w15:val="{974AA2A9-68F4-4324-937B-99CE8F88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8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B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3E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1095-020-02844-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ugs.com/dosage/emicizumab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40262-020-00904-z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21/acs.molpharmaceut.2c00919" TargetMode="External"/><Relationship Id="rId10" Type="http://schemas.openxmlformats.org/officeDocument/2006/relationships/hyperlink" Target="https://doi.org/10.1093/rpsppr/rqae0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books/NBK5591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681</Words>
  <Characters>4292</Characters>
  <Application>Microsoft Office Word</Application>
  <DocSecurity>0</DocSecurity>
  <Lines>75</Lines>
  <Paragraphs>43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Heien</dc:creator>
  <cp:keywords/>
  <dc:description/>
  <cp:lastModifiedBy>Mark Heien</cp:lastModifiedBy>
  <cp:revision>44</cp:revision>
  <dcterms:created xsi:type="dcterms:W3CDTF">2026-05-25T16:29:00Z</dcterms:created>
  <dcterms:modified xsi:type="dcterms:W3CDTF">2026-05-25T17:29:00Z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5ca84b9b-c620-4988-b3ae-8e32e9bffecd</vt:lpwstr>
  </property>
</Properties>
</file>