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43986" w14:textId="168C9B88" w:rsidR="00FB75F7" w:rsidRPr="003510D1" w:rsidRDefault="00FB75F7" w:rsidP="00FB75F7">
      <w:pPr>
        <w:jc w:val="center"/>
        <w:rPr>
          <w:b/>
          <w:bCs/>
          <w:sz w:val="32"/>
          <w:szCs w:val="32"/>
        </w:rPr>
      </w:pPr>
      <w:r w:rsidRPr="003510D1">
        <w:rPr>
          <w:b/>
          <w:bCs/>
          <w:sz w:val="32"/>
          <w:szCs w:val="32"/>
        </w:rPr>
        <w:t xml:space="preserve">Preparation and Evaluation of a </w:t>
      </w:r>
      <w:proofErr w:type="gramStart"/>
      <w:r w:rsidRPr="003510D1">
        <w:rPr>
          <w:b/>
          <w:bCs/>
          <w:sz w:val="32"/>
          <w:szCs w:val="32"/>
        </w:rPr>
        <w:t>Copper(</w:t>
      </w:r>
      <w:proofErr w:type="gramEnd"/>
      <w:r w:rsidRPr="003510D1">
        <w:rPr>
          <w:b/>
          <w:bCs/>
          <w:sz w:val="32"/>
          <w:szCs w:val="32"/>
        </w:rPr>
        <w:t>II) Complex</w:t>
      </w:r>
    </w:p>
    <w:p w14:paraId="10D3AD0B" w14:textId="77777777" w:rsidR="003510D1" w:rsidRDefault="003510D1" w:rsidP="00FB75F7">
      <w:pPr>
        <w:jc w:val="center"/>
        <w:rPr>
          <w:b/>
          <w:bCs/>
          <w:sz w:val="32"/>
          <w:szCs w:val="32"/>
        </w:rPr>
      </w:pPr>
    </w:p>
    <w:p w14:paraId="6DCE425A" w14:textId="5B63702F" w:rsidR="006037FC" w:rsidRPr="003510D1" w:rsidRDefault="006037FC" w:rsidP="00FB75F7">
      <w:pPr>
        <w:jc w:val="center"/>
        <w:rPr>
          <w:b/>
          <w:bCs/>
          <w:sz w:val="32"/>
          <w:szCs w:val="32"/>
        </w:rPr>
      </w:pPr>
      <w:r w:rsidRPr="003510D1">
        <w:rPr>
          <w:b/>
          <w:bCs/>
          <w:sz w:val="32"/>
          <w:szCs w:val="32"/>
        </w:rPr>
        <w:t>Part 1: July 5</w:t>
      </w:r>
      <w:r w:rsidRPr="003510D1">
        <w:rPr>
          <w:b/>
          <w:bCs/>
          <w:sz w:val="32"/>
          <w:szCs w:val="32"/>
          <w:vertAlign w:val="superscript"/>
        </w:rPr>
        <w:t>th</w:t>
      </w:r>
      <w:r w:rsidRPr="003510D1">
        <w:rPr>
          <w:b/>
          <w:bCs/>
          <w:sz w:val="32"/>
          <w:szCs w:val="32"/>
        </w:rPr>
        <w:t>, 2023, Part 2 Jul</w:t>
      </w:r>
      <w:r w:rsidR="003510D1" w:rsidRPr="003510D1">
        <w:rPr>
          <w:b/>
          <w:bCs/>
          <w:sz w:val="32"/>
          <w:szCs w:val="32"/>
        </w:rPr>
        <w:t>y 12, 2023, and Part 3 July 19, 2023</w:t>
      </w:r>
    </w:p>
    <w:p w14:paraId="220C6B65" w14:textId="77777777" w:rsidR="003510D1" w:rsidRDefault="003510D1" w:rsidP="00FB75F7">
      <w:pPr>
        <w:jc w:val="center"/>
        <w:rPr>
          <w:b/>
          <w:bCs/>
          <w:sz w:val="32"/>
          <w:szCs w:val="32"/>
        </w:rPr>
      </w:pPr>
    </w:p>
    <w:p w14:paraId="1DA09882" w14:textId="23A23D0A" w:rsidR="003510D1" w:rsidRPr="003510D1" w:rsidRDefault="003510D1" w:rsidP="00FB75F7">
      <w:pPr>
        <w:jc w:val="center"/>
        <w:rPr>
          <w:b/>
          <w:bCs/>
          <w:sz w:val="32"/>
          <w:szCs w:val="32"/>
        </w:rPr>
      </w:pPr>
      <w:r w:rsidRPr="003510D1">
        <w:rPr>
          <w:b/>
          <w:bCs/>
          <w:sz w:val="32"/>
          <w:szCs w:val="32"/>
        </w:rPr>
        <w:t>Mark A. Heien</w:t>
      </w:r>
    </w:p>
    <w:p w14:paraId="19AF5885" w14:textId="77777777" w:rsidR="00FB75F7" w:rsidRDefault="00FB75F7" w:rsidP="001B3AC5"/>
    <w:p w14:paraId="31038EE8" w14:textId="72290F4E" w:rsidR="001B3AC5" w:rsidRPr="00416D4A" w:rsidRDefault="001B3AC5" w:rsidP="001B3AC5">
      <w:pPr>
        <w:rPr>
          <w:b/>
          <w:bCs/>
        </w:rPr>
      </w:pPr>
      <w:r w:rsidRPr="00416D4A">
        <w:rPr>
          <w:b/>
          <w:bCs/>
        </w:rPr>
        <w:t>Introduction</w:t>
      </w:r>
      <w:r w:rsidR="00445F25" w:rsidRPr="00416D4A">
        <w:rPr>
          <w:b/>
          <w:bCs/>
        </w:rPr>
        <w:t xml:space="preserve"> and Purpose:</w:t>
      </w:r>
    </w:p>
    <w:p w14:paraId="1B04F457" w14:textId="35685202" w:rsidR="001B3AC5" w:rsidRDefault="00F846EB" w:rsidP="001B3AC5">
      <w:r w:rsidRPr="00F846EB">
        <w:t>The goal of this laboratory experiment is to analyze a coordination complex of copper (II) to better understand the entities with which copper can form complexes. In human physiology, these complexes play a pivotal role in maintaining homeostasis. This experiment employs the principles of the Lewis acid/base theory, wherein the metal ion acts as a Lewis acid and the ligand molecules function as Lewis bases. A coordination compound is characterized by a metal atom at its core, surrounded by a certain number of ions or molecules. These surrounding entities are covalently bonded to the metal, creating a stable, defined structur</w:t>
      </w:r>
      <w:r w:rsidR="00771C3B">
        <w:t>e.</w:t>
      </w:r>
    </w:p>
    <w:p w14:paraId="3370526B" w14:textId="3BFD2230" w:rsidR="001B3AC5" w:rsidRDefault="001B3AC5" w:rsidP="001B3AC5">
      <w:r>
        <w:t>Materials and Procedures</w:t>
      </w:r>
    </w:p>
    <w:p w14:paraId="7716A6B6" w14:textId="52975EF3" w:rsidR="001B3AC5" w:rsidRDefault="0013098C" w:rsidP="001B3AC5">
      <w:r>
        <w:t xml:space="preserve">Synthesis: </w:t>
      </w:r>
      <w:r w:rsidR="001B3AC5">
        <w:t>Approximately 1</w:t>
      </w:r>
      <w:r w:rsidR="00DF1620">
        <w:t>0</w:t>
      </w:r>
      <w:r w:rsidR="001B3AC5">
        <w:t xml:space="preserve"> </w:t>
      </w:r>
      <w:r w:rsidR="00D12E50">
        <w:t>grams</w:t>
      </w:r>
      <w:r w:rsidR="001B3AC5">
        <w:t xml:space="preserve"> of </w:t>
      </w:r>
      <w:proofErr w:type="gramStart"/>
      <w:r w:rsidR="001B3AC5">
        <w:t>copper(</w:t>
      </w:r>
      <w:proofErr w:type="gramEnd"/>
      <w:r w:rsidR="001B3AC5">
        <w:t xml:space="preserve">II) sulfate pentahydrate </w:t>
      </w:r>
      <w:proofErr w:type="gramStart"/>
      <w:r w:rsidR="001B3AC5">
        <w:t>was</w:t>
      </w:r>
      <w:proofErr w:type="gramEnd"/>
      <w:r w:rsidR="001B3AC5">
        <w:t xml:space="preserve"> weighed out and dissolved in 10 mL of water. The color of the solution was then recorded. </w:t>
      </w:r>
      <w:r w:rsidR="005C3D47">
        <w:t>20</w:t>
      </w:r>
      <w:r w:rsidR="001B3AC5">
        <w:t xml:space="preserve"> mL of</w:t>
      </w:r>
      <w:r w:rsidR="00356F14">
        <w:t xml:space="preserve"> 15 M</w:t>
      </w:r>
      <w:r w:rsidR="001B3AC5">
        <w:t xml:space="preserve"> concentrated ammonia solution was then added to the mixture. After </w:t>
      </w:r>
      <w:r w:rsidR="00D12E50">
        <w:t>all</w:t>
      </w:r>
      <w:r w:rsidR="001B3AC5">
        <w:t xml:space="preserve"> the ammonia was dissolved, the color of the solution was recorded. 10 mL of ethyl alcohol was then added to decrease the solubility of the </w:t>
      </w:r>
      <w:proofErr w:type="spellStart"/>
      <w:proofErr w:type="gramStart"/>
      <w:r w:rsidR="001B3AC5">
        <w:t>tetramminecopper</w:t>
      </w:r>
      <w:proofErr w:type="spellEnd"/>
      <w:r w:rsidR="001B3AC5">
        <w:t>(</w:t>
      </w:r>
      <w:proofErr w:type="gramEnd"/>
      <w:r w:rsidR="001B3AC5">
        <w:t>II) complex. The solid precipitate was allowed to stand for 5 minutes and then filtered under suction. While filtering, the precipitate was washed with ethyl alcohol</w:t>
      </w:r>
      <w:r w:rsidR="00C121AA">
        <w:t xml:space="preserve"> and acetone</w:t>
      </w:r>
      <w:r w:rsidR="001B3AC5">
        <w:t>, stirred, and dried.</w:t>
      </w:r>
    </w:p>
    <w:p w14:paraId="47A561DC" w14:textId="0FB10A0A" w:rsidR="003B3551" w:rsidRDefault="003B3551" w:rsidP="003B3551">
      <w:r>
        <w:t>Sulfate Gravimetric Analysis</w:t>
      </w:r>
      <w:r w:rsidR="00EF6E17">
        <w:t xml:space="preserve">: </w:t>
      </w:r>
      <w:r>
        <w:t xml:space="preserve">Through the straightforward gravimetric analysis method, the sulfate content in the product is determined by accurate weighing of a particular sample. This process involves the compound's sulfate selectively reacting with </w:t>
      </w:r>
      <w:proofErr w:type="gramStart"/>
      <w:r>
        <w:t>Pb(</w:t>
      </w:r>
      <w:proofErr w:type="gramEnd"/>
      <w:r>
        <w:t xml:space="preserve">II) from a lead(II) acetate aqueous solution, resulting in the precipitation of PbSO4. After this metathesis reaction, the precipitate will be meticulously filtered, washed, and dried. The mass of the resulting PbSO4 will then be measured to determine the sulfate amount in the </w:t>
      </w:r>
      <w:proofErr w:type="gramStart"/>
      <w:r>
        <w:t>copper(</w:t>
      </w:r>
      <w:proofErr w:type="gramEnd"/>
      <w:r>
        <w:t>II) compound sample.</w:t>
      </w:r>
    </w:p>
    <w:p w14:paraId="046C0F54" w14:textId="1A64DD1E" w:rsidR="003B3551" w:rsidRDefault="003B3551" w:rsidP="003B3551">
      <w:r>
        <w:t>Ammonia Volumetric Analysis</w:t>
      </w:r>
      <w:r w:rsidR="00EF6E17">
        <w:t xml:space="preserve">: </w:t>
      </w:r>
      <w:r>
        <w:t xml:space="preserve">The product's ammonia content will be quantified using a simple, yet vibrant, titration technique. A standard HCl solution will be used to titrate all the ammonia present in a sample of the </w:t>
      </w:r>
      <w:proofErr w:type="gramStart"/>
      <w:r>
        <w:t>copper(</w:t>
      </w:r>
      <w:proofErr w:type="gramEnd"/>
      <w:r>
        <w:t xml:space="preserve">II) compound. Since this process involves a strong acid-weak base titration, the equivalence point happens at pH &lt; 7, making methyl orange an appropriate indicator. Methyl orange transitions from </w:t>
      </w:r>
      <w:proofErr w:type="gramStart"/>
      <w:r>
        <w:t>orange-yellow</w:t>
      </w:r>
      <w:proofErr w:type="gramEnd"/>
      <w:r>
        <w:t xml:space="preserve"> to red at the titration's endpoint. However, due to the brightly colored </w:t>
      </w:r>
      <w:proofErr w:type="gramStart"/>
      <w:r>
        <w:t>copper(</w:t>
      </w:r>
      <w:proofErr w:type="gramEnd"/>
      <w:r>
        <w:t xml:space="preserve">II) compounds formed during the titration, several intriguing color changes will occur. The solution initially dark blue becomes a blue-green suspension, transitioning to a pea-green suspension once 70% of HCl has been added. When 85% of the acid has been introduced, the suspension appears </w:t>
      </w:r>
      <w:r>
        <w:lastRenderedPageBreak/>
        <w:t>shaded yellow. The endpoint is signified by a Lincoln Penny-orange solution. Surpassing the endpoint results in a red-orange solution.</w:t>
      </w:r>
    </w:p>
    <w:p w14:paraId="2753C03A" w14:textId="4DF694CD" w:rsidR="003B3551" w:rsidRDefault="003B3551" w:rsidP="003B3551">
      <w:proofErr w:type="gramStart"/>
      <w:r>
        <w:t>Copper(</w:t>
      </w:r>
      <w:proofErr w:type="gramEnd"/>
      <w:r>
        <w:t>II) Spectrophotometric Analysis</w:t>
      </w:r>
      <w:r w:rsidR="00EF6E17">
        <w:t xml:space="preserve">:  </w:t>
      </w:r>
      <w:r>
        <w:t xml:space="preserve">Lastly, the quantity of light interacting with the matter, specifically with aqueous Cu(II), will be determined via spectrophotometric analysis. Aqueous </w:t>
      </w:r>
      <w:proofErr w:type="gramStart"/>
      <w:r>
        <w:t>copper(</w:t>
      </w:r>
      <w:proofErr w:type="gramEnd"/>
      <w:r>
        <w:t>II) ions absorb light in the visible region of the electromagnetic spectrum, with maximum absorbance occurring around 645 nm, equivalent to orange light. To the human eye, the solution appears blue, as blue light is not absorbed, but transmitted through the sample, while the orange light gets absorbed.</w:t>
      </w:r>
    </w:p>
    <w:p w14:paraId="67336BBE" w14:textId="6818B661" w:rsidR="00974948" w:rsidRDefault="00974948" w:rsidP="003B3551">
      <w:r>
        <w:t>Results</w:t>
      </w:r>
      <w:r w:rsidR="00764D91">
        <w:t>:</w:t>
      </w:r>
    </w:p>
    <w:p w14:paraId="2A98E6BD" w14:textId="503F6A2A" w:rsidR="00C90F54" w:rsidRDefault="00C90F54" w:rsidP="003B3551">
      <w:r>
        <w:t>Part A</w:t>
      </w:r>
    </w:p>
    <w:tbl>
      <w:tblPr>
        <w:tblStyle w:val="TableGrid"/>
        <w:tblW w:w="0" w:type="auto"/>
        <w:tblLook w:val="04A0" w:firstRow="1" w:lastRow="0" w:firstColumn="1" w:lastColumn="0" w:noHBand="0" w:noVBand="1"/>
      </w:tblPr>
      <w:tblGrid>
        <w:gridCol w:w="2337"/>
        <w:gridCol w:w="2337"/>
        <w:gridCol w:w="2338"/>
        <w:gridCol w:w="2338"/>
      </w:tblGrid>
      <w:tr w:rsidR="00422AD3" w14:paraId="30BDA7AC" w14:textId="77777777" w:rsidTr="00422AD3">
        <w:tc>
          <w:tcPr>
            <w:tcW w:w="2337" w:type="dxa"/>
          </w:tcPr>
          <w:p w14:paraId="40EBEE39" w14:textId="77777777" w:rsidR="00422AD3" w:rsidRDefault="00422AD3" w:rsidP="003B3551"/>
        </w:tc>
        <w:tc>
          <w:tcPr>
            <w:tcW w:w="2337" w:type="dxa"/>
          </w:tcPr>
          <w:p w14:paraId="361EE915" w14:textId="01D614C5" w:rsidR="00422AD3" w:rsidRDefault="00422AD3" w:rsidP="003B3551">
            <w:r>
              <w:t>Mass of Compound</w:t>
            </w:r>
            <w:r w:rsidR="001A6C97">
              <w:t xml:space="preserve"> </w:t>
            </w:r>
            <w:r>
              <w:t>(g)</w:t>
            </w:r>
          </w:p>
        </w:tc>
        <w:tc>
          <w:tcPr>
            <w:tcW w:w="2338" w:type="dxa"/>
          </w:tcPr>
          <w:p w14:paraId="5AE0A571" w14:textId="3BA3468B" w:rsidR="00422AD3" w:rsidRPr="001A6C97" w:rsidRDefault="00422AD3" w:rsidP="003B3551">
            <w:r>
              <w:t>Mass of PbSO</w:t>
            </w:r>
            <w:r>
              <w:rPr>
                <w:vertAlign w:val="subscript"/>
              </w:rPr>
              <w:t>4</w:t>
            </w:r>
            <w:r w:rsidR="001A6C97">
              <w:t xml:space="preserve"> + filter paper (g)</w:t>
            </w:r>
          </w:p>
        </w:tc>
        <w:tc>
          <w:tcPr>
            <w:tcW w:w="2338" w:type="dxa"/>
          </w:tcPr>
          <w:p w14:paraId="7737BF95" w14:textId="357E77F6" w:rsidR="00422AD3" w:rsidRDefault="001A6C97" w:rsidP="003B3551">
            <w:r>
              <w:t>Mass of filter paper (g)</w:t>
            </w:r>
          </w:p>
        </w:tc>
      </w:tr>
      <w:tr w:rsidR="00422AD3" w14:paraId="4EB8FDC5" w14:textId="77777777" w:rsidTr="00422AD3">
        <w:tc>
          <w:tcPr>
            <w:tcW w:w="2337" w:type="dxa"/>
          </w:tcPr>
          <w:p w14:paraId="76D644BA" w14:textId="7DE67D72" w:rsidR="00422AD3" w:rsidRDefault="006C5E8B" w:rsidP="003B3551">
            <w:r>
              <w:t>Trial #1</w:t>
            </w:r>
          </w:p>
        </w:tc>
        <w:tc>
          <w:tcPr>
            <w:tcW w:w="2337" w:type="dxa"/>
          </w:tcPr>
          <w:p w14:paraId="15178C35" w14:textId="66931C6D" w:rsidR="00422AD3" w:rsidRDefault="001D4DAD" w:rsidP="003B3551">
            <w:r>
              <w:t>1.017</w:t>
            </w:r>
          </w:p>
        </w:tc>
        <w:tc>
          <w:tcPr>
            <w:tcW w:w="2338" w:type="dxa"/>
          </w:tcPr>
          <w:p w14:paraId="436A91D0" w14:textId="7F84EB1D" w:rsidR="00422AD3" w:rsidRDefault="007A6D6C" w:rsidP="003B3551">
            <w:r>
              <w:t>1.8</w:t>
            </w:r>
            <w:r w:rsidR="00F041A5">
              <w:t>29</w:t>
            </w:r>
          </w:p>
        </w:tc>
        <w:tc>
          <w:tcPr>
            <w:tcW w:w="2338" w:type="dxa"/>
          </w:tcPr>
          <w:p w14:paraId="6A68BA1E" w14:textId="3446CD46" w:rsidR="00422AD3" w:rsidRDefault="00FC6302" w:rsidP="003B3551">
            <w:r>
              <w:t>0.812</w:t>
            </w:r>
          </w:p>
        </w:tc>
      </w:tr>
      <w:tr w:rsidR="00422AD3" w14:paraId="69DC7449" w14:textId="77777777" w:rsidTr="00422AD3">
        <w:tc>
          <w:tcPr>
            <w:tcW w:w="2337" w:type="dxa"/>
          </w:tcPr>
          <w:p w14:paraId="29EC457C" w14:textId="45056D69" w:rsidR="00422AD3" w:rsidRDefault="006C5E8B" w:rsidP="003B3551">
            <w:r>
              <w:t>Trial #2</w:t>
            </w:r>
          </w:p>
        </w:tc>
        <w:tc>
          <w:tcPr>
            <w:tcW w:w="2337" w:type="dxa"/>
          </w:tcPr>
          <w:p w14:paraId="6832747F" w14:textId="16F0C00D" w:rsidR="00422AD3" w:rsidRDefault="00754F40" w:rsidP="003B3551">
            <w:r>
              <w:t>1.004</w:t>
            </w:r>
          </w:p>
        </w:tc>
        <w:tc>
          <w:tcPr>
            <w:tcW w:w="2338" w:type="dxa"/>
          </w:tcPr>
          <w:p w14:paraId="72AC0CCB" w14:textId="68E0D30E" w:rsidR="00422AD3" w:rsidRDefault="00F041A5" w:rsidP="003B3551">
            <w:r>
              <w:t>1.</w:t>
            </w:r>
            <w:r w:rsidR="006F12D4">
              <w:t>8</w:t>
            </w:r>
            <w:r>
              <w:t>08</w:t>
            </w:r>
          </w:p>
        </w:tc>
        <w:tc>
          <w:tcPr>
            <w:tcW w:w="2338" w:type="dxa"/>
          </w:tcPr>
          <w:p w14:paraId="4D73ADB9" w14:textId="56E64109" w:rsidR="00422AD3" w:rsidRDefault="00E80562" w:rsidP="003B3551">
            <w:r>
              <w:t>0</w:t>
            </w:r>
            <w:r w:rsidR="00E468C3">
              <w:t>.</w:t>
            </w:r>
            <w:r w:rsidR="00552FE4">
              <w:t>9</w:t>
            </w:r>
            <w:r w:rsidR="00E468C3">
              <w:t>04</w:t>
            </w:r>
          </w:p>
        </w:tc>
      </w:tr>
    </w:tbl>
    <w:p w14:paraId="158B71A9" w14:textId="77777777" w:rsidR="003B3551" w:rsidRDefault="003B3551" w:rsidP="003B3551"/>
    <w:p w14:paraId="302ACBCB" w14:textId="002ED6FF" w:rsidR="00C90F54" w:rsidRDefault="00C90F54" w:rsidP="003B3551">
      <w:r>
        <w:t>Part B</w:t>
      </w:r>
    </w:p>
    <w:tbl>
      <w:tblPr>
        <w:tblStyle w:val="TableGrid"/>
        <w:tblW w:w="0" w:type="auto"/>
        <w:tblLook w:val="04A0" w:firstRow="1" w:lastRow="0" w:firstColumn="1" w:lastColumn="0" w:noHBand="0" w:noVBand="1"/>
      </w:tblPr>
      <w:tblGrid>
        <w:gridCol w:w="3116"/>
        <w:gridCol w:w="3117"/>
        <w:gridCol w:w="3117"/>
      </w:tblGrid>
      <w:tr w:rsidR="00110A05" w14:paraId="04E6F0D0" w14:textId="77777777" w:rsidTr="00110A05">
        <w:tc>
          <w:tcPr>
            <w:tcW w:w="3116" w:type="dxa"/>
          </w:tcPr>
          <w:p w14:paraId="36A9D032" w14:textId="77777777" w:rsidR="00110A05" w:rsidRDefault="00110A05" w:rsidP="003B3551"/>
        </w:tc>
        <w:tc>
          <w:tcPr>
            <w:tcW w:w="3117" w:type="dxa"/>
          </w:tcPr>
          <w:p w14:paraId="2BA4DD24" w14:textId="162270B0" w:rsidR="00110A05" w:rsidRDefault="003F5831" w:rsidP="003B3551">
            <w:r>
              <w:t>Volume of 0.7394 M HCl (mL)</w:t>
            </w:r>
          </w:p>
        </w:tc>
        <w:tc>
          <w:tcPr>
            <w:tcW w:w="3117" w:type="dxa"/>
          </w:tcPr>
          <w:p w14:paraId="6EC489CA" w14:textId="73F93E41" w:rsidR="00110A05" w:rsidRDefault="0091117E" w:rsidP="003B3551">
            <w:r>
              <w:t>Mass of the compound</w:t>
            </w:r>
          </w:p>
        </w:tc>
      </w:tr>
      <w:tr w:rsidR="00110A05" w14:paraId="5F21366D" w14:textId="77777777" w:rsidTr="00110A05">
        <w:tc>
          <w:tcPr>
            <w:tcW w:w="3116" w:type="dxa"/>
          </w:tcPr>
          <w:p w14:paraId="2AB11ABB" w14:textId="2A48F9C6" w:rsidR="00110A05" w:rsidRDefault="0091117E" w:rsidP="003B3551">
            <w:r>
              <w:t>Trial #1</w:t>
            </w:r>
          </w:p>
        </w:tc>
        <w:tc>
          <w:tcPr>
            <w:tcW w:w="3117" w:type="dxa"/>
          </w:tcPr>
          <w:p w14:paraId="675B3021" w14:textId="44308082" w:rsidR="00110A05" w:rsidRDefault="007B40C8" w:rsidP="003B3551">
            <w:r>
              <w:t>19.88</w:t>
            </w:r>
          </w:p>
        </w:tc>
        <w:tc>
          <w:tcPr>
            <w:tcW w:w="3117" w:type="dxa"/>
          </w:tcPr>
          <w:p w14:paraId="305244AC" w14:textId="11C7511B" w:rsidR="00110A05" w:rsidRDefault="00151316" w:rsidP="003B3551">
            <w:r>
              <w:t>1.0058</w:t>
            </w:r>
          </w:p>
        </w:tc>
      </w:tr>
      <w:tr w:rsidR="00110A05" w14:paraId="5AA7DF3B" w14:textId="77777777" w:rsidTr="00110A05">
        <w:tc>
          <w:tcPr>
            <w:tcW w:w="3116" w:type="dxa"/>
          </w:tcPr>
          <w:p w14:paraId="1831D96E" w14:textId="2D4B4E41" w:rsidR="00110A05" w:rsidRDefault="0091117E" w:rsidP="003B3551">
            <w:r>
              <w:t>Trial #2</w:t>
            </w:r>
          </w:p>
        </w:tc>
        <w:tc>
          <w:tcPr>
            <w:tcW w:w="3117" w:type="dxa"/>
          </w:tcPr>
          <w:p w14:paraId="4B6EFEAB" w14:textId="0DB19749" w:rsidR="00110A05" w:rsidRDefault="00DA32CF" w:rsidP="003B3551">
            <w:r>
              <w:t>20.12</w:t>
            </w:r>
          </w:p>
        </w:tc>
        <w:tc>
          <w:tcPr>
            <w:tcW w:w="3117" w:type="dxa"/>
          </w:tcPr>
          <w:p w14:paraId="7C2CB850" w14:textId="0D402204" w:rsidR="00110A05" w:rsidRDefault="002454BB" w:rsidP="003B3551">
            <w:r>
              <w:t>1.014</w:t>
            </w:r>
          </w:p>
        </w:tc>
      </w:tr>
    </w:tbl>
    <w:p w14:paraId="6D7AB8EE" w14:textId="77777777" w:rsidR="00C90F54" w:rsidRDefault="00C90F54" w:rsidP="003B3551"/>
    <w:p w14:paraId="6F716E3B" w14:textId="6B6CDD73" w:rsidR="0068233E" w:rsidRDefault="0068233E" w:rsidP="003B3551">
      <w:r>
        <w:t>Part C</w:t>
      </w:r>
    </w:p>
    <w:p w14:paraId="0A565C98" w14:textId="70AD4A93" w:rsidR="0068233E" w:rsidRDefault="002D1168" w:rsidP="003B3551">
      <w:r>
        <w:rPr>
          <w:noProof/>
        </w:rPr>
        <w:drawing>
          <wp:inline distT="0" distB="0" distL="0" distR="0" wp14:anchorId="4312E7E2" wp14:editId="475693F4">
            <wp:extent cx="5702300" cy="3556000"/>
            <wp:effectExtent l="0" t="0" r="12700" b="6350"/>
            <wp:docPr id="794670026" name="Chart 1" descr="Chart type: Scatter. Field: Data Set 1:Concentration(mol/L) and Field: Data Set 1:Absorbance appear highly correlated.&#10;&#10;Description automatically generated">
              <a:extLst xmlns:a="http://schemas.openxmlformats.org/drawingml/2006/main">
                <a:ext uri="{FF2B5EF4-FFF2-40B4-BE49-F238E27FC236}">
                  <a16:creationId xmlns:a16="http://schemas.microsoft.com/office/drawing/2014/main" id="{52B87E7F-DD92-00E8-6072-2E4697E560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A426B8F" w14:textId="2C80B061" w:rsidR="0027008C" w:rsidRDefault="0027008C" w:rsidP="003B3551">
      <w:r>
        <w:rPr>
          <w:noProof/>
        </w:rPr>
        <w:lastRenderedPageBreak/>
        <w:drawing>
          <wp:inline distT="0" distB="0" distL="0" distR="0" wp14:anchorId="5FFB3C86" wp14:editId="4E297358">
            <wp:extent cx="5943600" cy="4073525"/>
            <wp:effectExtent l="0" t="0" r="0" b="3175"/>
            <wp:docPr id="1107374914" name="Chart 1" descr="Chart type: Scatter. 'Data Set 1:Absorbance' by 'Data Set 1:Concentration(mol/L)'&#10;&#10;Description automatically generated">
              <a:extLst xmlns:a="http://schemas.openxmlformats.org/drawingml/2006/main">
                <a:ext uri="{FF2B5EF4-FFF2-40B4-BE49-F238E27FC236}">
                  <a16:creationId xmlns:a16="http://schemas.microsoft.com/office/drawing/2014/main" id="{8A88CF4E-D36F-510A-EA8B-A769AF45BD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bl>
      <w:tblPr>
        <w:tblStyle w:val="TableGrid"/>
        <w:tblW w:w="0" w:type="auto"/>
        <w:tblLook w:val="04A0" w:firstRow="1" w:lastRow="0" w:firstColumn="1" w:lastColumn="0" w:noHBand="0" w:noVBand="1"/>
      </w:tblPr>
      <w:tblGrid>
        <w:gridCol w:w="3116"/>
        <w:gridCol w:w="3117"/>
        <w:gridCol w:w="3117"/>
      </w:tblGrid>
      <w:tr w:rsidR="00895A46" w14:paraId="3746EBF2" w14:textId="77777777" w:rsidTr="00895A46">
        <w:tc>
          <w:tcPr>
            <w:tcW w:w="3116" w:type="dxa"/>
          </w:tcPr>
          <w:p w14:paraId="6F647689" w14:textId="77777777" w:rsidR="00895A46" w:rsidRDefault="00895A46" w:rsidP="003B3551"/>
        </w:tc>
        <w:tc>
          <w:tcPr>
            <w:tcW w:w="3117" w:type="dxa"/>
          </w:tcPr>
          <w:p w14:paraId="7C245F60" w14:textId="5A651BB2" w:rsidR="00895A46" w:rsidRDefault="003D22A0" w:rsidP="003B3551">
            <w:r>
              <w:t>Mass of Compoun</w:t>
            </w:r>
            <w:r w:rsidR="007B7622">
              <w:t>d</w:t>
            </w:r>
          </w:p>
        </w:tc>
        <w:tc>
          <w:tcPr>
            <w:tcW w:w="3117" w:type="dxa"/>
          </w:tcPr>
          <w:p w14:paraId="1A6BDE96" w14:textId="602F31A2" w:rsidR="00895A46" w:rsidRPr="007B7622" w:rsidRDefault="007B7622" w:rsidP="003B3551">
            <w:pPr>
              <w:rPr>
                <w:vertAlign w:val="superscript"/>
              </w:rPr>
            </w:pPr>
            <w:r>
              <w:t>Calculated concentration of Cu</w:t>
            </w:r>
            <w:r>
              <w:rPr>
                <w:vertAlign w:val="superscript"/>
              </w:rPr>
              <w:t>2+</w:t>
            </w:r>
          </w:p>
        </w:tc>
      </w:tr>
      <w:tr w:rsidR="00895A46" w14:paraId="447D5A3F" w14:textId="77777777" w:rsidTr="00895A46">
        <w:tc>
          <w:tcPr>
            <w:tcW w:w="3116" w:type="dxa"/>
          </w:tcPr>
          <w:p w14:paraId="36D67962" w14:textId="41FF3A43" w:rsidR="00895A46" w:rsidRDefault="008260D0" w:rsidP="003B3551">
            <w:r>
              <w:t>Trial 1</w:t>
            </w:r>
          </w:p>
        </w:tc>
        <w:tc>
          <w:tcPr>
            <w:tcW w:w="3117" w:type="dxa"/>
          </w:tcPr>
          <w:p w14:paraId="5CFB6F9A" w14:textId="6745E0AC" w:rsidR="00895A46" w:rsidRDefault="007B7622" w:rsidP="003B3551">
            <w:r>
              <w:t>0.124</w:t>
            </w:r>
          </w:p>
        </w:tc>
        <w:tc>
          <w:tcPr>
            <w:tcW w:w="3117" w:type="dxa"/>
          </w:tcPr>
          <w:p w14:paraId="34F56055" w14:textId="7A935A4C" w:rsidR="00895A46" w:rsidRDefault="004C58E2" w:rsidP="003B3551">
            <w:r>
              <w:t>1</w:t>
            </w:r>
            <w:r w:rsidR="00A334EF">
              <w:t>.1613</w:t>
            </w:r>
          </w:p>
        </w:tc>
      </w:tr>
      <w:tr w:rsidR="00895A46" w14:paraId="21C692B3" w14:textId="77777777" w:rsidTr="00895A46">
        <w:tc>
          <w:tcPr>
            <w:tcW w:w="3116" w:type="dxa"/>
          </w:tcPr>
          <w:p w14:paraId="17FBF3AA" w14:textId="4B586FC0" w:rsidR="00895A46" w:rsidRDefault="007B7622" w:rsidP="003B3551">
            <w:r>
              <w:t>Trial 2</w:t>
            </w:r>
          </w:p>
        </w:tc>
        <w:tc>
          <w:tcPr>
            <w:tcW w:w="3117" w:type="dxa"/>
          </w:tcPr>
          <w:p w14:paraId="37BF6CE4" w14:textId="5DC119D7" w:rsidR="00895A46" w:rsidRDefault="007B7622" w:rsidP="003B3551">
            <w:r>
              <w:t>0.244</w:t>
            </w:r>
          </w:p>
        </w:tc>
        <w:tc>
          <w:tcPr>
            <w:tcW w:w="3117" w:type="dxa"/>
          </w:tcPr>
          <w:p w14:paraId="45C14025" w14:textId="7F195044" w:rsidR="00895A46" w:rsidRDefault="00A334EF" w:rsidP="003B3551">
            <w:r>
              <w:t>2.165</w:t>
            </w:r>
          </w:p>
        </w:tc>
      </w:tr>
    </w:tbl>
    <w:p w14:paraId="47C92430" w14:textId="77777777" w:rsidR="00895A46" w:rsidRDefault="00895A46" w:rsidP="003B3551"/>
    <w:tbl>
      <w:tblPr>
        <w:tblStyle w:val="TableGrid"/>
        <w:tblW w:w="0" w:type="auto"/>
        <w:tblLook w:val="04A0" w:firstRow="1" w:lastRow="0" w:firstColumn="1" w:lastColumn="0" w:noHBand="0" w:noVBand="1"/>
      </w:tblPr>
      <w:tblGrid>
        <w:gridCol w:w="1870"/>
        <w:gridCol w:w="1870"/>
        <w:gridCol w:w="1870"/>
        <w:gridCol w:w="1870"/>
        <w:gridCol w:w="1870"/>
      </w:tblGrid>
      <w:tr w:rsidR="004C6FDB" w14:paraId="2FEC9F97" w14:textId="77777777" w:rsidTr="004C6FDB">
        <w:tc>
          <w:tcPr>
            <w:tcW w:w="1870" w:type="dxa"/>
          </w:tcPr>
          <w:p w14:paraId="21D7DF61" w14:textId="504C6CCE" w:rsidR="004C6FDB" w:rsidRDefault="00B33D17" w:rsidP="003B3551">
            <w:r>
              <w:t>Species</w:t>
            </w:r>
          </w:p>
        </w:tc>
        <w:tc>
          <w:tcPr>
            <w:tcW w:w="1870" w:type="dxa"/>
          </w:tcPr>
          <w:p w14:paraId="71A14F72" w14:textId="3E6C5D44" w:rsidR="004C6FDB" w:rsidRPr="001F36E9" w:rsidRDefault="001F36E9" w:rsidP="003B3551">
            <w:pPr>
              <w:rPr>
                <w:vertAlign w:val="superscript"/>
              </w:rPr>
            </w:pPr>
            <w:r>
              <w:t>SO</w:t>
            </w:r>
            <w:r>
              <w:rPr>
                <w:vertAlign w:val="subscript"/>
              </w:rPr>
              <w:t>4</w:t>
            </w:r>
            <w:r>
              <w:rPr>
                <w:vertAlign w:val="superscript"/>
              </w:rPr>
              <w:t>2</w:t>
            </w:r>
            <w:r w:rsidR="00866467">
              <w:rPr>
                <w:vertAlign w:val="superscript"/>
              </w:rPr>
              <w:t>-</w:t>
            </w:r>
          </w:p>
        </w:tc>
        <w:tc>
          <w:tcPr>
            <w:tcW w:w="1870" w:type="dxa"/>
          </w:tcPr>
          <w:p w14:paraId="5471C5FE" w14:textId="1EB1305D" w:rsidR="004C6FDB" w:rsidRPr="001F36E9" w:rsidRDefault="001F36E9" w:rsidP="003B3551">
            <w:pPr>
              <w:rPr>
                <w:vertAlign w:val="subscript"/>
              </w:rPr>
            </w:pPr>
            <w:r>
              <w:t>NH</w:t>
            </w:r>
            <w:r>
              <w:rPr>
                <w:vertAlign w:val="subscript"/>
              </w:rPr>
              <w:t>3</w:t>
            </w:r>
          </w:p>
        </w:tc>
        <w:tc>
          <w:tcPr>
            <w:tcW w:w="1870" w:type="dxa"/>
          </w:tcPr>
          <w:p w14:paraId="2BC58B99" w14:textId="0587A931" w:rsidR="004C6FDB" w:rsidRPr="00866467" w:rsidRDefault="00866467" w:rsidP="003B3551">
            <w:pPr>
              <w:rPr>
                <w:vertAlign w:val="superscript"/>
              </w:rPr>
            </w:pPr>
            <w:r>
              <w:t>Cu</w:t>
            </w:r>
            <w:r>
              <w:rPr>
                <w:vertAlign w:val="superscript"/>
              </w:rPr>
              <w:t>2+</w:t>
            </w:r>
          </w:p>
        </w:tc>
        <w:tc>
          <w:tcPr>
            <w:tcW w:w="1870" w:type="dxa"/>
          </w:tcPr>
          <w:p w14:paraId="54893CC1" w14:textId="51F003BD" w:rsidR="004C6FDB" w:rsidRPr="00866467" w:rsidRDefault="00866467" w:rsidP="003B3551">
            <w:r>
              <w:t>H</w:t>
            </w:r>
            <w:r>
              <w:rPr>
                <w:vertAlign w:val="subscript"/>
              </w:rPr>
              <w:t>2</w:t>
            </w:r>
            <w:r>
              <w:t>O</w:t>
            </w:r>
          </w:p>
        </w:tc>
      </w:tr>
      <w:tr w:rsidR="004C6FDB" w14:paraId="5508252F" w14:textId="77777777" w:rsidTr="004C6FDB">
        <w:tc>
          <w:tcPr>
            <w:tcW w:w="1870" w:type="dxa"/>
          </w:tcPr>
          <w:p w14:paraId="23B337C7" w14:textId="1AC827FA" w:rsidR="004C6FDB" w:rsidRDefault="00866467" w:rsidP="003B3551">
            <w:r>
              <w:t>Trial 1 (%)</w:t>
            </w:r>
          </w:p>
        </w:tc>
        <w:tc>
          <w:tcPr>
            <w:tcW w:w="1870" w:type="dxa"/>
          </w:tcPr>
          <w:p w14:paraId="2D6F918E" w14:textId="519CD234" w:rsidR="004C6FDB" w:rsidRDefault="00211E63" w:rsidP="003B3551">
            <w:r>
              <w:t>55.60</w:t>
            </w:r>
          </w:p>
        </w:tc>
        <w:tc>
          <w:tcPr>
            <w:tcW w:w="1870" w:type="dxa"/>
          </w:tcPr>
          <w:p w14:paraId="2C2FBA45" w14:textId="3C1F8AE9" w:rsidR="004C6FDB" w:rsidRDefault="004A69EA" w:rsidP="003B3551">
            <w:r>
              <w:t>24</w:t>
            </w:r>
            <w:r w:rsidR="00151ADF">
              <w:t>.88</w:t>
            </w:r>
          </w:p>
        </w:tc>
        <w:tc>
          <w:tcPr>
            <w:tcW w:w="1870" w:type="dxa"/>
          </w:tcPr>
          <w:p w14:paraId="3E09C00F" w14:textId="1428EFAC" w:rsidR="004C6FDB" w:rsidRDefault="00205104" w:rsidP="003B3551">
            <w:r>
              <w:t>10.68</w:t>
            </w:r>
          </w:p>
        </w:tc>
        <w:tc>
          <w:tcPr>
            <w:tcW w:w="1870" w:type="dxa"/>
          </w:tcPr>
          <w:p w14:paraId="1719D4DF" w14:textId="5C46FF87" w:rsidR="004C6FDB" w:rsidRDefault="004E5B16" w:rsidP="003B3551">
            <w:r>
              <w:t>8.84</w:t>
            </w:r>
          </w:p>
        </w:tc>
      </w:tr>
      <w:tr w:rsidR="004C6FDB" w14:paraId="6B7FFC03" w14:textId="77777777" w:rsidTr="004C6FDB">
        <w:tc>
          <w:tcPr>
            <w:tcW w:w="1870" w:type="dxa"/>
          </w:tcPr>
          <w:p w14:paraId="3487626D" w14:textId="259706AD" w:rsidR="004C6FDB" w:rsidRDefault="00866467" w:rsidP="003B3551">
            <w:r>
              <w:t>T</w:t>
            </w:r>
            <w:r w:rsidR="00675D6A">
              <w:t>rial 2 (%)</w:t>
            </w:r>
          </w:p>
        </w:tc>
        <w:tc>
          <w:tcPr>
            <w:tcW w:w="1870" w:type="dxa"/>
          </w:tcPr>
          <w:p w14:paraId="48D7CE15" w14:textId="36F3395C" w:rsidR="004C6FDB" w:rsidRDefault="00211E63" w:rsidP="003B3551">
            <w:r>
              <w:t>55.53</w:t>
            </w:r>
          </w:p>
        </w:tc>
        <w:tc>
          <w:tcPr>
            <w:tcW w:w="1870" w:type="dxa"/>
          </w:tcPr>
          <w:p w14:paraId="1A09D758" w14:textId="3C60851F" w:rsidR="004C6FDB" w:rsidRDefault="00C559EB" w:rsidP="003B3551">
            <w:r>
              <w:t>24.99</w:t>
            </w:r>
          </w:p>
        </w:tc>
        <w:tc>
          <w:tcPr>
            <w:tcW w:w="1870" w:type="dxa"/>
          </w:tcPr>
          <w:p w14:paraId="06970B09" w14:textId="60E2B107" w:rsidR="004C6FDB" w:rsidRDefault="00CF47F8" w:rsidP="003B3551">
            <w:r>
              <w:t>11.27</w:t>
            </w:r>
          </w:p>
        </w:tc>
        <w:tc>
          <w:tcPr>
            <w:tcW w:w="1870" w:type="dxa"/>
          </w:tcPr>
          <w:p w14:paraId="6B8F175B" w14:textId="2ADE677B" w:rsidR="004C6FDB" w:rsidRDefault="00BE2B77" w:rsidP="003B3551">
            <w:r>
              <w:t>8.21</w:t>
            </w:r>
          </w:p>
        </w:tc>
      </w:tr>
      <w:tr w:rsidR="004C6FDB" w14:paraId="0950E26F" w14:textId="77777777" w:rsidTr="004C6FDB">
        <w:tc>
          <w:tcPr>
            <w:tcW w:w="1870" w:type="dxa"/>
          </w:tcPr>
          <w:p w14:paraId="27F3E5F8" w14:textId="48106F38" w:rsidR="004C6FDB" w:rsidRDefault="00675D6A" w:rsidP="003B3551">
            <w:r>
              <w:t>Mean (%)</w:t>
            </w:r>
          </w:p>
        </w:tc>
        <w:tc>
          <w:tcPr>
            <w:tcW w:w="1870" w:type="dxa"/>
          </w:tcPr>
          <w:p w14:paraId="52CA1DB4" w14:textId="1D105C9A" w:rsidR="004C6FDB" w:rsidRDefault="00983159" w:rsidP="003B3551">
            <w:r>
              <w:t>55.57</w:t>
            </w:r>
          </w:p>
        </w:tc>
        <w:tc>
          <w:tcPr>
            <w:tcW w:w="1870" w:type="dxa"/>
          </w:tcPr>
          <w:p w14:paraId="2EE26E97" w14:textId="2059859D" w:rsidR="004C6FDB" w:rsidRDefault="00C50F1F" w:rsidP="003B3551">
            <w:r>
              <w:t>24.94</w:t>
            </w:r>
          </w:p>
        </w:tc>
        <w:tc>
          <w:tcPr>
            <w:tcW w:w="1870" w:type="dxa"/>
          </w:tcPr>
          <w:p w14:paraId="3FB9556C" w14:textId="5ED27FBF" w:rsidR="004C6FDB" w:rsidRDefault="009D6678" w:rsidP="003B3551">
            <w:r>
              <w:t>10.98</w:t>
            </w:r>
          </w:p>
        </w:tc>
        <w:tc>
          <w:tcPr>
            <w:tcW w:w="1870" w:type="dxa"/>
          </w:tcPr>
          <w:p w14:paraId="440EDD69" w14:textId="55CF4904" w:rsidR="004C6FDB" w:rsidRDefault="00BE2B77" w:rsidP="003B3551">
            <w:r>
              <w:t>8.</w:t>
            </w:r>
            <w:r w:rsidR="00315E6A">
              <w:t>53</w:t>
            </w:r>
          </w:p>
        </w:tc>
      </w:tr>
      <w:tr w:rsidR="004C6FDB" w14:paraId="021ED035" w14:textId="77777777" w:rsidTr="004C6FDB">
        <w:tc>
          <w:tcPr>
            <w:tcW w:w="1870" w:type="dxa"/>
          </w:tcPr>
          <w:p w14:paraId="7F0B7544" w14:textId="0455C1E3" w:rsidR="004C6FDB" w:rsidRDefault="00675D6A" w:rsidP="003B3551">
            <w:r>
              <w:t xml:space="preserve">Sample </w:t>
            </w:r>
            <w:proofErr w:type="spellStart"/>
            <w:r>
              <w:t>Stdev</w:t>
            </w:r>
            <w:proofErr w:type="spellEnd"/>
            <w:r>
              <w:t xml:space="preserve"> (%)</w:t>
            </w:r>
          </w:p>
        </w:tc>
        <w:tc>
          <w:tcPr>
            <w:tcW w:w="1870" w:type="dxa"/>
          </w:tcPr>
          <w:p w14:paraId="759EB3B3" w14:textId="79D8C267" w:rsidR="004C6FDB" w:rsidRDefault="009334FE" w:rsidP="003B3551">
            <w:r>
              <w:t>0.05</w:t>
            </w:r>
          </w:p>
        </w:tc>
        <w:tc>
          <w:tcPr>
            <w:tcW w:w="1870" w:type="dxa"/>
          </w:tcPr>
          <w:p w14:paraId="6460DFEC" w14:textId="6B8ED1C0" w:rsidR="004C6FDB" w:rsidRDefault="009334FE" w:rsidP="003B3551">
            <w:r>
              <w:t>0.78</w:t>
            </w:r>
          </w:p>
        </w:tc>
        <w:tc>
          <w:tcPr>
            <w:tcW w:w="1870" w:type="dxa"/>
          </w:tcPr>
          <w:p w14:paraId="737B5159" w14:textId="2B6A131B" w:rsidR="004C6FDB" w:rsidRDefault="009B6CBD" w:rsidP="003B3551">
            <w:r>
              <w:t>0</w:t>
            </w:r>
            <w:r w:rsidR="00294E54">
              <w:t>.42</w:t>
            </w:r>
          </w:p>
        </w:tc>
        <w:tc>
          <w:tcPr>
            <w:tcW w:w="1870" w:type="dxa"/>
          </w:tcPr>
          <w:p w14:paraId="5CECC3C2" w14:textId="002E7AAB" w:rsidR="004C6FDB" w:rsidRDefault="00AF7482" w:rsidP="003B3551">
            <w:r>
              <w:t>0.45</w:t>
            </w:r>
          </w:p>
        </w:tc>
      </w:tr>
      <w:tr w:rsidR="004C6FDB" w14:paraId="0B1033FA" w14:textId="77777777" w:rsidTr="004C6FDB">
        <w:tc>
          <w:tcPr>
            <w:tcW w:w="1870" w:type="dxa"/>
          </w:tcPr>
          <w:p w14:paraId="732635DA" w14:textId="7CCF49EA" w:rsidR="004C6FDB" w:rsidRDefault="00D5069C" w:rsidP="003B3551">
            <w:r>
              <w:t xml:space="preserve">Rounded Mean (rounded </w:t>
            </w:r>
            <w:proofErr w:type="spellStart"/>
            <w:r>
              <w:t>stdev</w:t>
            </w:r>
            <w:proofErr w:type="spellEnd"/>
            <w:r>
              <w:t xml:space="preserve"> %)</w:t>
            </w:r>
          </w:p>
        </w:tc>
        <w:tc>
          <w:tcPr>
            <w:tcW w:w="1870" w:type="dxa"/>
          </w:tcPr>
          <w:p w14:paraId="1BECD9AC" w14:textId="61180637" w:rsidR="004C6FDB" w:rsidRDefault="004A02A4" w:rsidP="003B3551">
            <w:r>
              <w:t>56</w:t>
            </w:r>
          </w:p>
        </w:tc>
        <w:tc>
          <w:tcPr>
            <w:tcW w:w="1870" w:type="dxa"/>
          </w:tcPr>
          <w:p w14:paraId="68674E0F" w14:textId="0A05475D" w:rsidR="004C6FDB" w:rsidRDefault="004A02A4" w:rsidP="003B3551">
            <w:r>
              <w:t>25</w:t>
            </w:r>
          </w:p>
        </w:tc>
        <w:tc>
          <w:tcPr>
            <w:tcW w:w="1870" w:type="dxa"/>
          </w:tcPr>
          <w:p w14:paraId="5E2A8697" w14:textId="05323282" w:rsidR="004C6FDB" w:rsidRDefault="00294E54" w:rsidP="003B3551">
            <w:r>
              <w:t>11</w:t>
            </w:r>
          </w:p>
        </w:tc>
        <w:tc>
          <w:tcPr>
            <w:tcW w:w="1870" w:type="dxa"/>
          </w:tcPr>
          <w:p w14:paraId="207A3356" w14:textId="7EC81550" w:rsidR="004C6FDB" w:rsidRDefault="00B17255" w:rsidP="003B3551">
            <w:r>
              <w:t>9</w:t>
            </w:r>
          </w:p>
        </w:tc>
      </w:tr>
    </w:tbl>
    <w:p w14:paraId="21942C39" w14:textId="77777777" w:rsidR="003B3551" w:rsidRDefault="003B3551" w:rsidP="003B3551"/>
    <w:p w14:paraId="1889709E" w14:textId="77777777" w:rsidR="001B3AC5" w:rsidRDefault="001B3AC5" w:rsidP="001B3AC5"/>
    <w:p w14:paraId="6005DDC6" w14:textId="77777777" w:rsidR="001B3AC5" w:rsidRDefault="001B3AC5" w:rsidP="001B3AC5">
      <w:r>
        <w:t>In this experiment, there was a potential for human error due to the likelihood that the weight of the reactants and products were not weighed precisely. Furthermore, the results cannot definitively be called valid because the experiment was only performed once.</w:t>
      </w:r>
    </w:p>
    <w:p w14:paraId="5C19CE18" w14:textId="77777777" w:rsidR="001B3AC5" w:rsidRDefault="001B3AC5" w:rsidP="001B3AC5"/>
    <w:p w14:paraId="65044E66" w14:textId="77777777" w:rsidR="001B3AC5" w:rsidRPr="009C5AC3" w:rsidRDefault="001B3AC5" w:rsidP="001B3AC5">
      <w:pPr>
        <w:rPr>
          <w:b/>
          <w:bCs/>
        </w:rPr>
      </w:pPr>
      <w:r w:rsidRPr="009C5AC3">
        <w:rPr>
          <w:b/>
          <w:bCs/>
        </w:rPr>
        <w:t>Conclusion</w:t>
      </w:r>
    </w:p>
    <w:p w14:paraId="71409D88" w14:textId="3DD58B68" w:rsidR="001B3AC5" w:rsidRPr="00111496" w:rsidRDefault="00623340" w:rsidP="001B3AC5">
      <w:pPr>
        <w:rPr>
          <w:b/>
          <w:bCs/>
          <w:vertAlign w:val="subscript"/>
        </w:rPr>
      </w:pPr>
      <w:r w:rsidRPr="00623340">
        <w:lastRenderedPageBreak/>
        <w:t xml:space="preserve">According to the percentage that I calculated, I come up with </w:t>
      </w:r>
      <w:proofErr w:type="spellStart"/>
      <w:proofErr w:type="gramStart"/>
      <w:r w:rsidRPr="00623340">
        <w:t>a</w:t>
      </w:r>
      <w:proofErr w:type="spellEnd"/>
      <w:proofErr w:type="gramEnd"/>
      <w:r w:rsidRPr="00623340">
        <w:t xml:space="preserve"> empirical formula which is </w:t>
      </w:r>
      <w:r w:rsidR="00D6638A" w:rsidRPr="00111496">
        <w:rPr>
          <w:b/>
          <w:bCs/>
        </w:rPr>
        <w:t>Cu</w:t>
      </w:r>
      <w:r w:rsidR="00D6638A" w:rsidRPr="00111496">
        <w:rPr>
          <w:b/>
          <w:bCs/>
          <w:vertAlign w:val="subscript"/>
        </w:rPr>
        <w:t>2</w:t>
      </w:r>
      <w:r w:rsidR="00D6638A" w:rsidRPr="00111496">
        <w:rPr>
          <w:b/>
          <w:bCs/>
        </w:rPr>
        <w:t>(SO</w:t>
      </w:r>
      <w:r w:rsidR="00D6638A" w:rsidRPr="00111496">
        <w:rPr>
          <w:b/>
          <w:bCs/>
          <w:vertAlign w:val="subscript"/>
        </w:rPr>
        <w:t>4</w:t>
      </w:r>
      <w:r w:rsidR="00D6638A" w:rsidRPr="00111496">
        <w:rPr>
          <w:b/>
          <w:bCs/>
        </w:rPr>
        <w:t>)</w:t>
      </w:r>
      <w:r w:rsidR="00D6638A" w:rsidRPr="00111496">
        <w:rPr>
          <w:b/>
          <w:bCs/>
          <w:vertAlign w:val="subscript"/>
        </w:rPr>
        <w:t>17</w:t>
      </w:r>
      <w:r w:rsidR="00D6638A" w:rsidRPr="00111496">
        <w:rPr>
          <w:b/>
          <w:bCs/>
        </w:rPr>
        <w:t>(NH</w:t>
      </w:r>
      <w:r w:rsidR="00D6638A" w:rsidRPr="00111496">
        <w:rPr>
          <w:b/>
          <w:bCs/>
          <w:vertAlign w:val="subscript"/>
        </w:rPr>
        <w:t>3</w:t>
      </w:r>
      <w:r w:rsidR="00D6638A" w:rsidRPr="00111496">
        <w:rPr>
          <w:b/>
          <w:bCs/>
        </w:rPr>
        <w:t>)</w:t>
      </w:r>
      <w:r w:rsidR="00D6638A" w:rsidRPr="00111496">
        <w:rPr>
          <w:b/>
          <w:bCs/>
          <w:vertAlign w:val="subscript"/>
        </w:rPr>
        <w:t>34</w:t>
      </w:r>
      <w:r w:rsidR="00D6638A" w:rsidRPr="00111496">
        <w:rPr>
          <w:b/>
          <w:bCs/>
        </w:rPr>
        <w:t>(H</w:t>
      </w:r>
      <w:r w:rsidR="00D6638A" w:rsidRPr="00111496">
        <w:rPr>
          <w:b/>
          <w:bCs/>
          <w:vertAlign w:val="subscript"/>
        </w:rPr>
        <w:t>2</w:t>
      </w:r>
      <w:r w:rsidR="00D6638A" w:rsidRPr="00111496">
        <w:rPr>
          <w:b/>
          <w:bCs/>
        </w:rPr>
        <w:t>O)</w:t>
      </w:r>
      <w:r w:rsidR="00D6638A" w:rsidRPr="00111496">
        <w:rPr>
          <w:b/>
          <w:bCs/>
          <w:vertAlign w:val="subscript"/>
        </w:rPr>
        <w:t>8</w:t>
      </w:r>
    </w:p>
    <w:p w14:paraId="1097F36D" w14:textId="77777777" w:rsidR="00111496" w:rsidRDefault="00DE2584" w:rsidP="00DE2584">
      <w:pPr>
        <w:rPr>
          <w:b/>
          <w:bCs/>
        </w:rPr>
      </w:pPr>
      <w:r w:rsidRPr="00DE2584">
        <w:rPr>
          <w:b/>
          <w:bCs/>
        </w:rPr>
        <w:t>Discussion</w:t>
      </w:r>
    </w:p>
    <w:p w14:paraId="63AC6276" w14:textId="52DD5879" w:rsidR="00DE2584" w:rsidRPr="00DE2584" w:rsidRDefault="00DE2584" w:rsidP="00DE2584">
      <w:r w:rsidRPr="00DE2584">
        <w:t>Any empirical formula derived from experimental data is prone to uncertainties and errors. The uncertainties identified in our conclusion are as follows:</w:t>
      </w:r>
    </w:p>
    <w:p w14:paraId="674A3297" w14:textId="77777777" w:rsidR="00DE2584" w:rsidRPr="00DE2584" w:rsidRDefault="00DE2584" w:rsidP="00DE2584">
      <w:pPr>
        <w:numPr>
          <w:ilvl w:val="0"/>
          <w:numId w:val="2"/>
        </w:numPr>
      </w:pPr>
      <w:r w:rsidRPr="00DE2584">
        <w:rPr>
          <w:b/>
          <w:bCs/>
        </w:rPr>
        <w:t>Weight Measurement</w:t>
      </w:r>
      <w:r w:rsidRPr="00DE2584">
        <w:t>: The potential for human error during the weighing process could lead to inaccurate measurements of the reactants and products. Even a small error in measuring the initial or final mass can significantly impact the calculated percentages of each component.</w:t>
      </w:r>
    </w:p>
    <w:p w14:paraId="2483B003" w14:textId="77777777" w:rsidR="00DE2584" w:rsidRPr="00DE2584" w:rsidRDefault="00DE2584" w:rsidP="00DE2584">
      <w:pPr>
        <w:numPr>
          <w:ilvl w:val="0"/>
          <w:numId w:val="2"/>
        </w:numPr>
      </w:pPr>
      <w:r w:rsidRPr="00DE2584">
        <w:rPr>
          <w:b/>
          <w:bCs/>
        </w:rPr>
        <w:t>Number of Trials</w:t>
      </w:r>
      <w:r w:rsidRPr="00DE2584">
        <w:t>: The experiment was only performed twice. This limited number of trials does not provide a comprehensive understanding of potential variations or anomalies in the results.</w:t>
      </w:r>
    </w:p>
    <w:p w14:paraId="6B041ECE" w14:textId="77777777" w:rsidR="00DE2584" w:rsidRPr="00DE2584" w:rsidRDefault="00DE2584" w:rsidP="00DE2584">
      <w:pPr>
        <w:numPr>
          <w:ilvl w:val="0"/>
          <w:numId w:val="2"/>
        </w:numPr>
      </w:pPr>
      <w:r w:rsidRPr="00DE2584">
        <w:rPr>
          <w:b/>
          <w:bCs/>
        </w:rPr>
        <w:t>Impurities or Unexpected Compounds</w:t>
      </w:r>
      <w:r w:rsidRPr="00DE2584">
        <w:t>: Observations play an essential role in supporting or disproving our derived empirical formula. The color changes noted during the experiment could suggest the presence of impurities or unexpected compounds. For example, the formation of a color different than what's expected can indicate an additional compound or impurity present, potentially altering the empirical formula.</w:t>
      </w:r>
    </w:p>
    <w:p w14:paraId="181EBC20" w14:textId="77777777" w:rsidR="00DE2584" w:rsidRPr="00DE2584" w:rsidRDefault="00DE2584" w:rsidP="00DE2584">
      <w:r w:rsidRPr="00DE2584">
        <w:rPr>
          <w:b/>
          <w:bCs/>
        </w:rPr>
        <w:t>% Relative Error and % Relative Uncertainty</w:t>
      </w:r>
      <w:r w:rsidRPr="00DE2584">
        <w:t>: To calculate the % relative error, we would need the accepted or theoretical values for each component. The formula for calculating % relative error is:</w:t>
      </w:r>
    </w:p>
    <w:p w14:paraId="6E23D1B1" w14:textId="77777777" w:rsidR="00DE2584" w:rsidRPr="00DE2584" w:rsidRDefault="00DE2584" w:rsidP="00DE2584">
      <w:r w:rsidRPr="00DE2584">
        <w:t>The % relative uncertainty for each component (except water) can be calculated using:</w:t>
      </w:r>
    </w:p>
    <w:p w14:paraId="6F306ABC" w14:textId="77777777" w:rsidR="00DE2584" w:rsidRPr="00DE2584" w:rsidRDefault="00DE2584" w:rsidP="00DE2584">
      <w:r w:rsidRPr="00DE2584">
        <w:t>Using the provided data:</w:t>
      </w:r>
    </w:p>
    <w:p w14:paraId="2F7B9CD1" w14:textId="77777777" w:rsidR="00DE2584" w:rsidRPr="00DE2584" w:rsidRDefault="00DE2584" w:rsidP="00DE2584">
      <w:pPr>
        <w:numPr>
          <w:ilvl w:val="0"/>
          <w:numId w:val="3"/>
        </w:numPr>
      </w:pPr>
      <w:r w:rsidRPr="00DE2584">
        <w:t>For SO₄²⁻: % Relative Uncertainty = (0.05/55.57) * 100 = 0.09%</w:t>
      </w:r>
    </w:p>
    <w:p w14:paraId="343BD4C5" w14:textId="77777777" w:rsidR="00DE2584" w:rsidRPr="00DE2584" w:rsidRDefault="00DE2584" w:rsidP="00DE2584">
      <w:pPr>
        <w:numPr>
          <w:ilvl w:val="0"/>
          <w:numId w:val="3"/>
        </w:numPr>
      </w:pPr>
      <w:r w:rsidRPr="00DE2584">
        <w:t>For NH₃: % Relative Uncertainty = (0.78/24.94) * 100 = 3.13%</w:t>
      </w:r>
    </w:p>
    <w:p w14:paraId="765E510C" w14:textId="77777777" w:rsidR="00DE2584" w:rsidRPr="00DE2584" w:rsidRDefault="00DE2584" w:rsidP="00DE2584">
      <w:pPr>
        <w:numPr>
          <w:ilvl w:val="0"/>
          <w:numId w:val="3"/>
        </w:numPr>
      </w:pPr>
      <w:r w:rsidRPr="00DE2584">
        <w:t>For Cu²⁺: % Relative Uncertainty = (0.42/10.98) * 100 = 3.82%</w:t>
      </w:r>
    </w:p>
    <w:p w14:paraId="1B581E24" w14:textId="77777777" w:rsidR="00DE2584" w:rsidRPr="00DE2584" w:rsidRDefault="00DE2584" w:rsidP="00DE2584">
      <w:r w:rsidRPr="00DE2584">
        <w:t>It is essential to consult additional resources to validate these calculations against the accepted values.</w:t>
      </w:r>
    </w:p>
    <w:p w14:paraId="1E890A65" w14:textId="77777777" w:rsidR="00DE2584" w:rsidRPr="00DE2584" w:rsidRDefault="00DE2584" w:rsidP="00DE2584">
      <w:r w:rsidRPr="00DE2584">
        <w:rPr>
          <w:b/>
          <w:bCs/>
        </w:rPr>
        <w:t>Origin and Propagation of Error</w:t>
      </w:r>
      <w:r w:rsidRPr="00DE2584">
        <w:t>: Errors could originate from various sources:</w:t>
      </w:r>
    </w:p>
    <w:p w14:paraId="0A608AD4" w14:textId="77777777" w:rsidR="00DE2584" w:rsidRPr="00DE2584" w:rsidRDefault="00DE2584" w:rsidP="00DE2584">
      <w:pPr>
        <w:numPr>
          <w:ilvl w:val="0"/>
          <w:numId w:val="4"/>
        </w:numPr>
      </w:pPr>
      <w:r w:rsidRPr="00DE2584">
        <w:rPr>
          <w:b/>
          <w:bCs/>
        </w:rPr>
        <w:t>Instrumental</w:t>
      </w:r>
      <w:r w:rsidRPr="00DE2584">
        <w:t>: Devices used for weighing might not be calibrated correctly.</w:t>
      </w:r>
    </w:p>
    <w:p w14:paraId="34BA9B18" w14:textId="77777777" w:rsidR="00DE2584" w:rsidRPr="00DE2584" w:rsidRDefault="00DE2584" w:rsidP="00DE2584">
      <w:pPr>
        <w:numPr>
          <w:ilvl w:val="0"/>
          <w:numId w:val="4"/>
        </w:numPr>
      </w:pPr>
      <w:r w:rsidRPr="00DE2584">
        <w:rPr>
          <w:b/>
          <w:bCs/>
        </w:rPr>
        <w:t>Procedural</w:t>
      </w:r>
      <w:r w:rsidRPr="00DE2584">
        <w:t>: The filtering process, washing with ethyl alcohol and acetone, or the drying process can introduce errors.</w:t>
      </w:r>
    </w:p>
    <w:p w14:paraId="75DCA468" w14:textId="77777777" w:rsidR="00DE2584" w:rsidRPr="00DE2584" w:rsidRDefault="00DE2584" w:rsidP="00DE2584">
      <w:pPr>
        <w:numPr>
          <w:ilvl w:val="0"/>
          <w:numId w:val="4"/>
        </w:numPr>
      </w:pPr>
      <w:r w:rsidRPr="00DE2584">
        <w:rPr>
          <w:b/>
          <w:bCs/>
        </w:rPr>
        <w:t>Human</w:t>
      </w:r>
      <w:r w:rsidRPr="00DE2584">
        <w:t>: Misreading measurements, incorrect pouring, or not following procedures exactly can introduce errors.</w:t>
      </w:r>
    </w:p>
    <w:p w14:paraId="2C9C2EEE" w14:textId="77777777" w:rsidR="00DE2584" w:rsidRPr="00DE2584" w:rsidRDefault="00DE2584" w:rsidP="00DE2584">
      <w:r w:rsidRPr="00DE2584">
        <w:t>These errors propagate throughout the experiment. For instance, a small error in the initial mass measurement could lead to incorrect calculations in subsequent steps.</w:t>
      </w:r>
    </w:p>
    <w:p w14:paraId="7EC131C1" w14:textId="77777777" w:rsidR="00DE2584" w:rsidRPr="00DE2584" w:rsidRDefault="00DE2584" w:rsidP="00DE2584">
      <w:r w:rsidRPr="00DE2584">
        <w:t>Conclusion: Based on the calculated percentages, the empirical formula derived for the coordination complex is Cu₂(SO</w:t>
      </w:r>
      <w:proofErr w:type="gramStart"/>
      <w:r w:rsidRPr="00DE2584">
        <w:t>₄)₁</w:t>
      </w:r>
      <w:proofErr w:type="gramEnd"/>
      <w:r w:rsidRPr="00DE2584">
        <w:t>₇(NH₃)₃₄(H₂O)₈. However, due to potential uncertainties and errors in the experimental procedure and calculations, further experimentation and validation are needed.</w:t>
      </w:r>
    </w:p>
    <w:p w14:paraId="66E195E4" w14:textId="37441689" w:rsidR="001B3AC5" w:rsidRDefault="00EF5FCE" w:rsidP="001B3AC5">
      <w:r>
        <w:rPr>
          <w:noProof/>
        </w:rPr>
        <w:lastRenderedPageBreak/>
        <w:drawing>
          <wp:inline distT="0" distB="0" distL="0" distR="0" wp14:anchorId="4A216561" wp14:editId="770E1968">
            <wp:extent cx="7924800" cy="5943600"/>
            <wp:effectExtent l="0" t="0" r="0" b="0"/>
            <wp:docPr id="1531187521" name="Picture 2" descr="A piece of pap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87521" name="Picture 2" descr="A piece of paper with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3BCEFC27" w14:textId="77777777" w:rsidR="00EF5FCE" w:rsidRDefault="00EF5FCE" w:rsidP="001B3AC5"/>
    <w:p w14:paraId="02B68EAD" w14:textId="0DB6A3B6" w:rsidR="00EF5FCE" w:rsidRDefault="00EF5FCE" w:rsidP="001B3AC5">
      <w:r>
        <w:rPr>
          <w:noProof/>
        </w:rPr>
        <w:lastRenderedPageBreak/>
        <w:drawing>
          <wp:inline distT="0" distB="0" distL="0" distR="0" wp14:anchorId="32B32953" wp14:editId="3F018AE7">
            <wp:extent cx="7924800" cy="5943600"/>
            <wp:effectExtent l="0" t="0" r="0" b="0"/>
            <wp:docPr id="1221240502" name="Picture 3" descr="A piece of pap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40502" name="Picture 3" descr="A piece of paper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158037CD" w14:textId="77777777" w:rsidR="00EF5FCE" w:rsidRDefault="00EF5FCE" w:rsidP="001B3AC5"/>
    <w:p w14:paraId="01B18C56" w14:textId="1EB9B4A8" w:rsidR="00EF5FCE" w:rsidRDefault="00EF5FCE" w:rsidP="001B3AC5">
      <w:r>
        <w:rPr>
          <w:noProof/>
        </w:rPr>
        <w:lastRenderedPageBreak/>
        <w:drawing>
          <wp:inline distT="0" distB="0" distL="0" distR="0" wp14:anchorId="5554487A" wp14:editId="144ABCE4">
            <wp:extent cx="7924800" cy="5943600"/>
            <wp:effectExtent l="0" t="0" r="0" b="0"/>
            <wp:docPr id="753818301" name="Picture 4" descr="A close-up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18301" name="Picture 4" descr="A close-up of a boo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4E36B366" w14:textId="77777777" w:rsidR="00EF5FCE" w:rsidRDefault="00EF5FCE" w:rsidP="001B3AC5"/>
    <w:p w14:paraId="783CB6FE" w14:textId="12884D5A" w:rsidR="00EF5FCE" w:rsidRDefault="00EF5FCE" w:rsidP="001B3AC5">
      <w:r>
        <w:rPr>
          <w:noProof/>
        </w:rPr>
        <w:lastRenderedPageBreak/>
        <w:drawing>
          <wp:inline distT="0" distB="0" distL="0" distR="0" wp14:anchorId="120C377C" wp14:editId="25C84031">
            <wp:extent cx="7924800" cy="5943600"/>
            <wp:effectExtent l="0" t="0" r="0" b="0"/>
            <wp:docPr id="1307293596" name="Picture 5" descr="A piece of pap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93596" name="Picture 5" descr="A piece of paper with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sectPr w:rsidR="00EF5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5C7A"/>
    <w:multiLevelType w:val="multilevel"/>
    <w:tmpl w:val="DD7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E0661A"/>
    <w:multiLevelType w:val="hybridMultilevel"/>
    <w:tmpl w:val="BFD4D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90581"/>
    <w:multiLevelType w:val="multilevel"/>
    <w:tmpl w:val="C80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B26926"/>
    <w:multiLevelType w:val="multilevel"/>
    <w:tmpl w:val="4D20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532788">
    <w:abstractNumId w:val="1"/>
  </w:num>
  <w:num w:numId="2" w16cid:durableId="1004748923">
    <w:abstractNumId w:val="3"/>
  </w:num>
  <w:num w:numId="3" w16cid:durableId="1829588923">
    <w:abstractNumId w:val="2"/>
  </w:num>
  <w:num w:numId="4" w16cid:durableId="2001998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C5"/>
    <w:rsid w:val="000044B7"/>
    <w:rsid w:val="000B6D71"/>
    <w:rsid w:val="00110A05"/>
    <w:rsid w:val="00111496"/>
    <w:rsid w:val="0013098C"/>
    <w:rsid w:val="00151316"/>
    <w:rsid w:val="00151ADF"/>
    <w:rsid w:val="00196C43"/>
    <w:rsid w:val="001A6C97"/>
    <w:rsid w:val="001B3AC5"/>
    <w:rsid w:val="001D4DAD"/>
    <w:rsid w:val="001F36E9"/>
    <w:rsid w:val="00205104"/>
    <w:rsid w:val="00211E63"/>
    <w:rsid w:val="002454BB"/>
    <w:rsid w:val="0027008C"/>
    <w:rsid w:val="00294E54"/>
    <w:rsid w:val="002D1168"/>
    <w:rsid w:val="00315E6A"/>
    <w:rsid w:val="003510D1"/>
    <w:rsid w:val="00356F14"/>
    <w:rsid w:val="003B3551"/>
    <w:rsid w:val="003D1F10"/>
    <w:rsid w:val="003D22A0"/>
    <w:rsid w:val="003F5831"/>
    <w:rsid w:val="00416D4A"/>
    <w:rsid w:val="00422AD3"/>
    <w:rsid w:val="00444196"/>
    <w:rsid w:val="00445F25"/>
    <w:rsid w:val="0048708C"/>
    <w:rsid w:val="004A02A4"/>
    <w:rsid w:val="004A69EA"/>
    <w:rsid w:val="004C3862"/>
    <w:rsid w:val="004C58E2"/>
    <w:rsid w:val="004C6FDB"/>
    <w:rsid w:val="004E5B16"/>
    <w:rsid w:val="0052124C"/>
    <w:rsid w:val="005512CD"/>
    <w:rsid w:val="00552FE4"/>
    <w:rsid w:val="00572021"/>
    <w:rsid w:val="0059470C"/>
    <w:rsid w:val="005C3D47"/>
    <w:rsid w:val="006037FC"/>
    <w:rsid w:val="006126B0"/>
    <w:rsid w:val="006149BB"/>
    <w:rsid w:val="00623340"/>
    <w:rsid w:val="00675D6A"/>
    <w:rsid w:val="00676543"/>
    <w:rsid w:val="0068233E"/>
    <w:rsid w:val="006C577D"/>
    <w:rsid w:val="006C5E8B"/>
    <w:rsid w:val="006C6184"/>
    <w:rsid w:val="006F12D4"/>
    <w:rsid w:val="00754F40"/>
    <w:rsid w:val="00764D91"/>
    <w:rsid w:val="00771C3B"/>
    <w:rsid w:val="007720B0"/>
    <w:rsid w:val="007819B2"/>
    <w:rsid w:val="007A6D6C"/>
    <w:rsid w:val="007B40C8"/>
    <w:rsid w:val="007B7622"/>
    <w:rsid w:val="00811C10"/>
    <w:rsid w:val="008260D0"/>
    <w:rsid w:val="00826C43"/>
    <w:rsid w:val="0083504E"/>
    <w:rsid w:val="00866467"/>
    <w:rsid w:val="00881B4D"/>
    <w:rsid w:val="00895A46"/>
    <w:rsid w:val="0091117E"/>
    <w:rsid w:val="009334FE"/>
    <w:rsid w:val="00974948"/>
    <w:rsid w:val="00983159"/>
    <w:rsid w:val="00997663"/>
    <w:rsid w:val="009B6CBD"/>
    <w:rsid w:val="009C5AC3"/>
    <w:rsid w:val="009D5C32"/>
    <w:rsid w:val="009D6678"/>
    <w:rsid w:val="00A334EF"/>
    <w:rsid w:val="00AF7482"/>
    <w:rsid w:val="00B17255"/>
    <w:rsid w:val="00B33D17"/>
    <w:rsid w:val="00BE2B77"/>
    <w:rsid w:val="00C121AA"/>
    <w:rsid w:val="00C50F1F"/>
    <w:rsid w:val="00C559EB"/>
    <w:rsid w:val="00C90F54"/>
    <w:rsid w:val="00CF47F8"/>
    <w:rsid w:val="00D12E50"/>
    <w:rsid w:val="00D5069C"/>
    <w:rsid w:val="00D6638A"/>
    <w:rsid w:val="00DA32CF"/>
    <w:rsid w:val="00DE0379"/>
    <w:rsid w:val="00DE2584"/>
    <w:rsid w:val="00DF1620"/>
    <w:rsid w:val="00E468C3"/>
    <w:rsid w:val="00E80562"/>
    <w:rsid w:val="00E97E2C"/>
    <w:rsid w:val="00EF5FCE"/>
    <w:rsid w:val="00EF6E17"/>
    <w:rsid w:val="00F041A5"/>
    <w:rsid w:val="00F6743C"/>
    <w:rsid w:val="00F846EB"/>
    <w:rsid w:val="00FA1103"/>
    <w:rsid w:val="00FB75F7"/>
    <w:rsid w:val="00FC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2C10"/>
  <w15:docId w15:val="{1C3DC4E3-D7F0-4188-95EE-CD360AF2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D91"/>
    <w:pPr>
      <w:ind w:left="720"/>
      <w:contextualSpacing/>
    </w:pPr>
  </w:style>
  <w:style w:type="table" w:styleId="TableGrid">
    <w:name w:val="Table Grid"/>
    <w:basedOn w:val="TableNormal"/>
    <w:uiPriority w:val="39"/>
    <w:rsid w:val="0042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237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ka\OneDrive\Desktop\copper.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rka\OneDrive\Desktop\csv-export1.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Field: </a:t>
            </a:r>
            <a:r>
              <a:rPr lang="en-US">
                <a:solidFill>
                  <a:srgbClr val="DD5A13"/>
                </a:solidFill>
              </a:rPr>
              <a:t>Data Set 1:Concentration(mol/L)</a:t>
            </a:r>
            <a:r>
              <a:rPr lang="en-US"/>
              <a:t> and Field: </a:t>
            </a:r>
            <a:r>
              <a:rPr lang="en-US">
                <a:solidFill>
                  <a:srgbClr val="DD5A13"/>
                </a:solidFill>
              </a:rPr>
              <a:t>Data Set 1:Absorbance</a:t>
            </a:r>
            <a:r>
              <a:rPr lang="en-US"/>
              <a:t> appear highly correlated.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copper!$B$1</c:f>
              <c:strCache>
                <c:ptCount val="1"/>
                <c:pt idx="0">
                  <c:v>Data Set 1:Absorbance</c:v>
                </c:pt>
              </c:strCache>
            </c:strRef>
          </c:tx>
          <c:spPr>
            <a:ln w="25400" cap="rnd">
              <a:noFill/>
              <a:round/>
            </a:ln>
            <a:effectLst/>
          </c:spPr>
          <c:marker>
            <c:symbol val="circle"/>
            <c:size val="7"/>
            <c:spPr>
              <a:solidFill>
                <a:srgbClr val="ED7331"/>
              </a:solidFill>
              <a:ln w="9525">
                <a:solidFill>
                  <a:srgbClr val="FFFFFF"/>
                </a:solidFill>
                <a:prstDash val="solid"/>
              </a:ln>
              <a:effectLst/>
            </c:spPr>
          </c:marker>
          <c:trendline>
            <c:spPr>
              <a:ln w="19050" cap="rnd">
                <a:solidFill>
                  <a:srgbClr val="ED733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copper!$A$2:$A$6</c:f>
              <c:numCache>
                <c:formatCode>General</c:formatCode>
                <c:ptCount val="5"/>
                <c:pt idx="0">
                  <c:v>0</c:v>
                </c:pt>
                <c:pt idx="1">
                  <c:v>2</c:v>
                </c:pt>
                <c:pt idx="2">
                  <c:v>3</c:v>
                </c:pt>
                <c:pt idx="3">
                  <c:v>4</c:v>
                </c:pt>
                <c:pt idx="4">
                  <c:v>5</c:v>
                </c:pt>
              </c:numCache>
            </c:numRef>
          </c:xVal>
          <c:yVal>
            <c:numRef>
              <c:f>copper!$B$2:$B$6</c:f>
              <c:numCache>
                <c:formatCode>General</c:formatCode>
                <c:ptCount val="5"/>
                <c:pt idx="0">
                  <c:v>1.10387698156131E-2</c:v>
                </c:pt>
                <c:pt idx="1">
                  <c:v>7.2263247715598194E-2</c:v>
                </c:pt>
                <c:pt idx="2">
                  <c:v>0.174220784716315</c:v>
                </c:pt>
                <c:pt idx="3">
                  <c:v>0.208384596844394</c:v>
                </c:pt>
                <c:pt idx="4">
                  <c:v>0.26892101590999001</c:v>
                </c:pt>
              </c:numCache>
            </c:numRef>
          </c:yVal>
          <c:smooth val="0"/>
          <c:extLst>
            <c:ext xmlns:c16="http://schemas.microsoft.com/office/drawing/2014/chart" uri="{C3380CC4-5D6E-409C-BE32-E72D297353CC}">
              <c16:uniqueId val="{00000004-14D6-4E2E-9108-359CA9BA9E8D}"/>
            </c:ext>
          </c:extLst>
        </c:ser>
        <c:dLbls>
          <c:showLegendKey val="0"/>
          <c:showVal val="0"/>
          <c:showCatName val="0"/>
          <c:showSerName val="0"/>
          <c:showPercent val="0"/>
          <c:showBubbleSize val="0"/>
        </c:dLbls>
        <c:axId val="704575488"/>
        <c:axId val="618368336"/>
      </c:scatterChart>
      <c:valAx>
        <c:axId val="7045754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Data Set 1:Concentration(mol/L)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8368336"/>
        <c:crosses val="autoZero"/>
        <c:crossBetween val="midCat"/>
      </c:valAx>
      <c:valAx>
        <c:axId val="618368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Data Set 1:Absorbance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457548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'Data Set 1:Absorbance' by 'Data Set 1:Concentration(mol/L)'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'csv-export1'!$B$1</c:f>
              <c:strCache>
                <c:ptCount val="1"/>
                <c:pt idx="0">
                  <c:v>Data Set 1:Absorbance</c:v>
                </c:pt>
              </c:strCache>
            </c:strRef>
          </c:tx>
          <c:spPr>
            <a:ln w="25400" cap="rnd">
              <a:noFill/>
              <a:round/>
            </a:ln>
            <a:effectLst/>
          </c:spPr>
          <c:marker>
            <c:symbol val="circle"/>
            <c:size val="7"/>
            <c:spPr>
              <a:solidFill>
                <a:schemeClr val="accent1"/>
              </a:solidFill>
              <a:ln w="9525">
                <a:solidFill>
                  <a:srgbClr val="FFFFFF"/>
                </a:solidFill>
                <a:prstDash val="solid"/>
              </a:ln>
              <a:effectLst/>
            </c:spPr>
          </c:marker>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'csv-export1'!$A$2:$A$3</c:f>
              <c:numCache>
                <c:formatCode>General</c:formatCode>
                <c:ptCount val="2"/>
                <c:pt idx="0">
                  <c:v>1</c:v>
                </c:pt>
                <c:pt idx="1">
                  <c:v>2</c:v>
                </c:pt>
              </c:numCache>
            </c:numRef>
          </c:xVal>
          <c:yVal>
            <c:numRef>
              <c:f>'csv-export1'!$B$2:$B$3</c:f>
              <c:numCache>
                <c:formatCode>General</c:formatCode>
                <c:ptCount val="2"/>
                <c:pt idx="0">
                  <c:v>0.149953</c:v>
                </c:pt>
                <c:pt idx="1">
                  <c:v>0.27870200000000001</c:v>
                </c:pt>
              </c:numCache>
            </c:numRef>
          </c:yVal>
          <c:smooth val="0"/>
          <c:extLst>
            <c:ext xmlns:c16="http://schemas.microsoft.com/office/drawing/2014/chart" uri="{C3380CC4-5D6E-409C-BE32-E72D297353CC}">
              <c16:uniqueId val="{00000001-DC08-461F-A19A-2391FFC40EB3}"/>
            </c:ext>
          </c:extLst>
        </c:ser>
        <c:dLbls>
          <c:showLegendKey val="0"/>
          <c:showVal val="0"/>
          <c:showCatName val="0"/>
          <c:showSerName val="0"/>
          <c:showPercent val="0"/>
          <c:showBubbleSize val="0"/>
        </c:dLbls>
        <c:axId val="952289344"/>
        <c:axId val="842070016"/>
      </c:scatterChart>
      <c:valAx>
        <c:axId val="9522893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Data Set 1:Concentration(mol/L)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2070016"/>
        <c:crosses val="autoZero"/>
        <c:crossBetween val="midCat"/>
      </c:valAx>
      <c:valAx>
        <c:axId val="842070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Data Set 1:Absorbance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2289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8</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Heien</dc:creator>
  <cp:keywords/>
  <dc:description/>
  <cp:lastModifiedBy>Mark Heien</cp:lastModifiedBy>
  <cp:revision>100</cp:revision>
  <dcterms:created xsi:type="dcterms:W3CDTF">2023-07-18T20:48:00Z</dcterms:created>
  <dcterms:modified xsi:type="dcterms:W3CDTF">2023-08-08T21:26:00Z</dcterms:modified>
</cp:coreProperties>
</file>