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X03cef4314b8aa390e318dc4a1235d0ccb9e0c3a"/>
    <w:p>
      <w:pPr>
        <w:pStyle w:val="Heading1"/>
      </w:pPr>
      <w:r>
        <w:t xml:space="preserve">شركة الأزواك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مراجعة-الإدارة-management-review"/>
    <w:p>
      <w:pPr>
        <w:pStyle w:val="Heading1"/>
      </w:pPr>
      <w:r>
        <w:t xml:space="preserve">مراجعة الإدارة (Management Review)</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مراجعة الإدارة (Management Review)</w:t>
            </w:r>
          </w:p>
        </w:tc>
      </w:tr>
      <w:tr>
        <w:tc>
          <w:tcPr/>
          <w:p>
            <w:pPr>
              <w:pStyle w:val="Compact"/>
            </w:pPr>
            <w:r>
              <w:rPr>
                <w:b/>
                <w:bCs/>
              </w:rPr>
              <w:t xml:space="preserve">كود الوثيقة</w:t>
            </w:r>
          </w:p>
        </w:tc>
        <w:tc>
          <w:tcPr/>
          <w:p>
            <w:pPr>
              <w:pStyle w:val="Compact"/>
            </w:pPr>
            <w:r>
              <w:t xml:space="preserve">FSP-06</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Xbe863e0deec7b58366ea4540649783d80a44ecd"/>
    <w:p>
      <w:pPr>
        <w:pStyle w:val="Heading1"/>
      </w:pPr>
      <w:r>
        <w:t xml:space="preserve">الإجراء رقم 6: مراجعة الإدارة (Management Review)</w:t>
      </w:r>
    </w:p>
    <w:bookmarkStart w:id="12" w:name="الغرض-purpose"/>
    <w:p>
      <w:pPr>
        <w:pStyle w:val="Heading3"/>
      </w:pPr>
      <w:r>
        <w:t xml:space="preserve">1. الغرض (Purpose)</w:t>
      </w:r>
    </w:p>
    <w:p>
      <w:pPr>
        <w:pStyle w:val="FirstParagraph"/>
      </w:pPr>
      <w:r>
        <w:t xml:space="preserve">يهدف هذا الإجراء إلى تحديد المتطلبات والمسؤوليات والصلاحيات لإجراء مراجعة دورية وشاملة من قبل الإدارة العليا لنظام إدارة سلامة الغذاء والجودة (FSQMS) المطبق في شركة لتعبئة المياه؛ وذلك لضمان استمرارية ملاءمته وكفايته وفعاليته، والتحقق من قدرته على تحقيق سياسات وأهداف الجودة وسلامة الغذاء، والامتثال للمتطلبات التشريعية والتنظيمية ذات الصلة، وتحسينه بشكل مستمر.</w:t>
      </w:r>
    </w:p>
    <w:bookmarkEnd w:id="12"/>
    <w:bookmarkStart w:id="13" w:name="النطاق-scope"/>
    <w:p>
      <w:pPr>
        <w:pStyle w:val="Heading3"/>
      </w:pPr>
      <w:r>
        <w:t xml:space="preserve">2. النطاق (Scope)</w:t>
      </w:r>
    </w:p>
    <w:p>
      <w:pPr>
        <w:pStyle w:val="FirstParagraph"/>
      </w:pPr>
      <w:r>
        <w:t xml:space="preserve">يطبق هذا الإجراء على جميع الأنشطة والعمليات التي يتكون منها نظام إدارة سلامة الغذاء والجودة في شركة لتعبئة المياه الطبيعية، من بداية التخطيط لاجتماعات مراجعة الإدارة، مروراً بالمدخلات والمخرجات، وحتى متابعة تنفيذ القرارات والإجراءات الناتجة عنها، وحفظ السجلات ذات الصلة. يشمل ذلك جميع جوانب الإنتاج، التعبئة، التخزين، والتوزيع للمنتجات النهائية (المياه الطبيعية/المعدنية) في مرافق الشركة.</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الإدارة العليا (Top Management)</w:t>
      </w:r>
      <w:r>
        <w:t xml:space="preserve">: الشخص أو مجموعة الأشخاص الذين يوجهون ويتحكمون في منظمة على أعلى مستوى.</w:t>
      </w:r>
    </w:p>
    <w:p>
      <w:pPr>
        <w:pStyle w:val="Compact"/>
        <w:numPr>
          <w:ilvl w:val="0"/>
          <w:numId w:val="1001"/>
        </w:numPr>
      </w:pPr>
      <w:r>
        <w:rPr>
          <w:b/>
          <w:bCs/>
        </w:rPr>
        <w:t xml:space="preserve">نظام إدارة سلامة الغذاء والجودة (FSQMS)</w:t>
      </w:r>
      <w:r>
        <w:t xml:space="preserve">: نظام إدارة متكامل يغطي متطلبات ISO 22000، FSSC 22000، وISO 9001 بالإضافة إلى المتطلبات التشريعية.</w:t>
      </w:r>
    </w:p>
    <w:p>
      <w:pPr>
        <w:pStyle w:val="Compact"/>
        <w:numPr>
          <w:ilvl w:val="0"/>
          <w:numId w:val="1001"/>
        </w:numPr>
      </w:pPr>
      <w:r>
        <w:rPr>
          <w:b/>
          <w:bCs/>
        </w:rPr>
        <w:t xml:space="preserve">FSTL</w:t>
      </w:r>
      <w:r>
        <w:t xml:space="preserve">: رئيس فريق سلامة الغذاء (Food Safety Team Leader).</w:t>
      </w:r>
    </w:p>
    <w:p>
      <w:pPr>
        <w:pStyle w:val="Compact"/>
        <w:numPr>
          <w:ilvl w:val="0"/>
          <w:numId w:val="1001"/>
        </w:numPr>
      </w:pPr>
      <w:r>
        <w:rPr>
          <w:b/>
          <w:bCs/>
        </w:rPr>
        <w:t xml:space="preserve">KPIs</w:t>
      </w:r>
      <w:r>
        <w:t xml:space="preserve">: مؤشرات الأداء الرئيسية (Key Performance Indicators).</w:t>
      </w:r>
    </w:p>
    <w:p>
      <w:pPr>
        <w:pStyle w:val="Compact"/>
        <w:numPr>
          <w:ilvl w:val="0"/>
          <w:numId w:val="1001"/>
        </w:numPr>
      </w:pPr>
      <w:r>
        <w:rPr>
          <w:b/>
          <w:bCs/>
        </w:rPr>
        <w:t xml:space="preserve">NC</w:t>
      </w:r>
      <w:r>
        <w:t xml:space="preserve">: عدم مطابقة (Nonconformity).</w:t>
      </w:r>
    </w:p>
    <w:p>
      <w:pPr>
        <w:pStyle w:val="Compact"/>
        <w:numPr>
          <w:ilvl w:val="0"/>
          <w:numId w:val="1001"/>
        </w:numPr>
      </w:pPr>
      <w:r>
        <w:rPr>
          <w:b/>
          <w:bCs/>
        </w:rPr>
        <w:t xml:space="preserve">NFSA</w:t>
      </w:r>
      <w:r>
        <w:t xml:space="preserve">: الهيئة القومية لسلامة الغذاء المصرية.</w:t>
      </w:r>
    </w:p>
    <w:bookmarkEnd w:id="14"/>
    <w:bookmarkStart w:id="15" w:name="المراجع-references"/>
    <w:p>
      <w:pPr>
        <w:pStyle w:val="Heading3"/>
      </w:pPr>
      <w:r>
        <w:t xml:space="preserve">4. المراجع (References)</w:t>
      </w:r>
    </w:p>
    <w:p>
      <w:pPr>
        <w:pStyle w:val="Compact"/>
        <w:numPr>
          <w:ilvl w:val="0"/>
          <w:numId w:val="1002"/>
        </w:numPr>
      </w:pPr>
      <w:r>
        <w:rPr>
          <w:b/>
          <w:bCs/>
        </w:rPr>
        <w:t xml:space="preserve">ISO 22000:2018</w:t>
      </w:r>
      <w:r>
        <w:t xml:space="preserve"> </w:t>
      </w:r>
      <w:r>
        <w:t xml:space="preserve">(بالأخص البنود: §4.1, §4.2, §5.1, §6.1, §6.2, §7.1, §8.1, §8.2, §8.3, §8.4, §8.5, §9.1, §9.2, §9.3, §10.2, §10.3)</w:t>
      </w:r>
    </w:p>
    <w:p>
      <w:pPr>
        <w:pStyle w:val="Compact"/>
        <w:numPr>
          <w:ilvl w:val="0"/>
          <w:numId w:val="1002"/>
        </w:numPr>
      </w:pPr>
      <w:r>
        <w:rPr>
          <w:b/>
          <w:bCs/>
        </w:rPr>
        <w:t xml:space="preserve">ISO 9001:2015</w:t>
      </w:r>
      <w:r>
        <w:t xml:space="preserve"> </w:t>
      </w:r>
      <w:r>
        <w:t xml:space="preserve">(بالأخص البنود: §4.1, §4.2, §5.1, §6.1, §6.2, §7.1, §9.1, §9.2, §9.3, §10.2, §10.3)</w:t>
      </w:r>
    </w:p>
    <w:p>
      <w:pPr>
        <w:pStyle w:val="Compact"/>
        <w:numPr>
          <w:ilvl w:val="0"/>
          <w:numId w:val="1002"/>
        </w:numPr>
      </w:pPr>
      <w:r>
        <w:rPr>
          <w:b/>
          <w:bCs/>
        </w:rPr>
        <w:t xml:space="preserve">FSSC 22000 v6</w:t>
      </w:r>
      <w:r>
        <w:t xml:space="preserve"> </w:t>
      </w:r>
      <w:r>
        <w:t xml:space="preserve">(بالأخص البنود: §2.5.5)</w:t>
      </w:r>
    </w:p>
    <w:p>
      <w:pPr>
        <w:pStyle w:val="Compact"/>
        <w:numPr>
          <w:ilvl w:val="0"/>
          <w:numId w:val="1002"/>
        </w:numPr>
      </w:pPr>
      <w:r>
        <w:rPr>
          <w:b/>
          <w:bCs/>
        </w:rPr>
        <w:t xml:space="preserve">Codex Alimentarius CAC/RCP 1-1969</w:t>
      </w:r>
      <w:r>
        <w:t xml:space="preserve"> </w:t>
      </w:r>
      <w:r>
        <w:t xml:space="preserve">(مبادئ نظام تحليل المخاطر ونقاط التحكم الحرجة HACCP)</w:t>
      </w:r>
    </w:p>
    <w:p>
      <w:pPr>
        <w:pStyle w:val="Compact"/>
        <w:numPr>
          <w:ilvl w:val="0"/>
          <w:numId w:val="1002"/>
        </w:numPr>
      </w:pPr>
      <w:r>
        <w:rPr>
          <w:b/>
          <w:bCs/>
        </w:rPr>
        <w:t xml:space="preserve">المواصفة القياسية المصرية ES 1589/2007</w:t>
      </w:r>
      <w:r>
        <w:t xml:space="preserve"> </w:t>
      </w:r>
      <w:r>
        <w:t xml:space="preserve">(مياه الشرب المعبأة - متطلبات عامة)</w:t>
      </w:r>
    </w:p>
    <w:p>
      <w:pPr>
        <w:pStyle w:val="Compact"/>
        <w:numPr>
          <w:ilvl w:val="0"/>
          <w:numId w:val="1002"/>
        </w:numPr>
      </w:pPr>
      <w:r>
        <w:rPr>
          <w:b/>
          <w:bCs/>
        </w:rPr>
        <w:t xml:space="preserve">المواصفة القياسية المصرية ES 190</w:t>
      </w:r>
      <w:r>
        <w:t xml:space="preserve"> </w:t>
      </w:r>
      <w:r>
        <w:t xml:space="preserve">(المياه المعدنية الطبيعية - متطلبات عامة)</w:t>
      </w:r>
    </w:p>
    <w:p>
      <w:pPr>
        <w:pStyle w:val="Compact"/>
        <w:numPr>
          <w:ilvl w:val="0"/>
          <w:numId w:val="1002"/>
        </w:numPr>
      </w:pPr>
      <w:r>
        <w:rPr>
          <w:b/>
          <w:bCs/>
        </w:rPr>
        <w:t xml:space="preserve">لائحة الهيئة القومية لسلامة الغذاء NFSA</w:t>
      </w:r>
      <w:r>
        <w:t xml:space="preserve"> </w:t>
      </w:r>
      <w:r>
        <w:t xml:space="preserve">(قرار 6/2023 وتعديلاته - بالخصوص البنود المتعلقة بمتطلبات ترخيص وسلامة المياه المعبأة).</w:t>
      </w:r>
    </w:p>
    <w:p>
      <w:pPr>
        <w:pStyle w:val="Compact"/>
        <w:numPr>
          <w:ilvl w:val="0"/>
          <w:numId w:val="1002"/>
        </w:numPr>
      </w:pPr>
      <w:r>
        <w:rPr>
          <w:b/>
          <w:bCs/>
        </w:rPr>
        <w:t xml:space="preserve">قرار وزير الصحة والسكان رقم 458 لسنة 2007</w:t>
      </w:r>
      <w:r>
        <w:t xml:space="preserve"> </w:t>
      </w:r>
      <w:r>
        <w:t xml:space="preserve">(ولائحته التنفيذية بشأن متطلبات جودة وسلامة المياه المعبأة).</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المسؤولية</w:t>
            </w:r>
          </w:p>
        </w:tc>
        <w:tc>
          <w:tcPr/>
          <w:p>
            <w:pPr>
              <w:pStyle w:val="Compact"/>
            </w:pPr>
            <w:r>
              <w:t xml:space="preserve">الغرض من مراجعة الإدارة</w:t>
            </w:r>
          </w:p>
        </w:tc>
        <w:tc>
          <w:tcPr/>
          <w:p>
            <w:pPr>
              <w:pStyle w:val="Compact"/>
            </w:pPr>
            <w:r>
              <w:t xml:space="preserve">تحديد متطلبات المدخلات والمخرجات</w:t>
            </w:r>
          </w:p>
        </w:tc>
        <w:tc>
          <w:tcPr/>
          <w:p>
            <w:pPr>
              <w:pStyle w:val="Compact"/>
            </w:pPr>
            <w:r>
              <w:t xml:space="preserve">التخطيط لعقد الاجتماع</w:t>
            </w:r>
          </w:p>
        </w:tc>
        <w:tc>
          <w:tcPr/>
          <w:p>
            <w:pPr>
              <w:pStyle w:val="Compact"/>
            </w:pPr>
            <w:r>
              <w:t xml:space="preserve">إعداد مسودة تقارير المراجعة</w:t>
            </w:r>
          </w:p>
        </w:tc>
        <w:tc>
          <w:tcPr/>
          <w:p>
            <w:pPr>
              <w:pStyle w:val="Compact"/>
            </w:pPr>
            <w:r>
              <w:t xml:space="preserve">رئاسة اجتماع المراجعة واتخاذ القرارات</w:t>
            </w:r>
          </w:p>
        </w:tc>
        <w:tc>
          <w:tcPr/>
          <w:p>
            <w:pPr>
              <w:pStyle w:val="Compact"/>
            </w:pPr>
            <w:r>
              <w:t xml:space="preserve">متابعة تنفيذ القرارات والإجراءات التصحيحية</w:t>
            </w:r>
          </w:p>
        </w:tc>
        <w:tc>
          <w:tcPr/>
          <w:p>
            <w:pPr>
              <w:pStyle w:val="Compact"/>
            </w:pPr>
            <w:r>
              <w:t xml:space="preserve">حفظ السجلات</w:t>
            </w:r>
          </w:p>
        </w:tc>
      </w:tr>
      <w:tr>
        <w:tc>
          <w:tcPr/>
          <w:p>
            <w:pPr>
              <w:pStyle w:val="Compact"/>
            </w:pPr>
            <w:r>
              <w:rPr>
                <w:b/>
                <w:bCs/>
              </w:rPr>
              <w:t xml:space="preserve">الإدارة العليا</w:t>
            </w:r>
          </w:p>
        </w:tc>
        <w:tc>
          <w:tcPr/>
          <w:p>
            <w:pPr>
              <w:pStyle w:val="Compact"/>
            </w:pPr>
            <w:r>
              <w:t xml:space="preserve">مسؤولية كاملة (A, R)</w:t>
            </w:r>
          </w:p>
        </w:tc>
        <w:tc>
          <w:tcPr/>
          <w:p>
            <w:pPr>
              <w:pStyle w:val="Compact"/>
            </w:pPr>
            <w:r>
              <w:t xml:space="preserve">موافقة (A)</w:t>
            </w:r>
          </w:p>
        </w:tc>
        <w:tc>
          <w:tcPr/>
          <w:p>
            <w:pPr>
              <w:pStyle w:val="Compact"/>
            </w:pPr>
            <w:r>
              <w:t xml:space="preserve">I</w:t>
            </w:r>
          </w:p>
        </w:tc>
        <w:tc>
          <w:tcPr/>
          <w:p>
            <w:pPr>
              <w:pStyle w:val="Compact"/>
            </w:pPr>
            <w:r>
              <w:t xml:space="preserve">I</w:t>
            </w:r>
          </w:p>
        </w:tc>
        <w:tc>
          <w:tcPr/>
          <w:p>
            <w:pPr>
              <w:pStyle w:val="Compact"/>
            </w:pPr>
            <w:r>
              <w:t xml:space="preserve">مسؤولية كاملة (A, R)</w:t>
            </w:r>
          </w:p>
        </w:tc>
        <w:tc>
          <w:tcPr/>
          <w:p>
            <w:pPr>
              <w:pStyle w:val="Compact"/>
            </w:pPr>
            <w:r>
              <w:t xml:space="preserve">موافقة (A)</w:t>
            </w:r>
          </w:p>
        </w:tc>
        <w:tc>
          <w:tcPr/>
          <w:p>
            <w:pPr>
              <w:pStyle w:val="Compact"/>
            </w:pPr>
            <w:r>
              <w:t xml:space="preserve">C</w:t>
            </w:r>
          </w:p>
        </w:tc>
      </w:tr>
      <w:tr>
        <w:tc>
          <w:tcPr/>
          <w:p>
            <w:pPr>
              <w:pStyle w:val="Compact"/>
            </w:pPr>
            <w:r>
              <w:rPr>
                <w:b/>
                <w:bCs/>
              </w:rPr>
              <w:t xml:space="preserve">رئيس فريق سلامة الغذاء (FSTL)</w:t>
            </w:r>
          </w:p>
        </w:tc>
        <w:tc>
          <w:tcPr/>
          <w:p>
            <w:pPr>
              <w:pStyle w:val="Compact"/>
            </w:pPr>
            <w:r>
              <w:t xml:space="preserve">C</w:t>
            </w:r>
          </w:p>
        </w:tc>
        <w:tc>
          <w:tcPr/>
          <w:p>
            <w:pPr>
              <w:pStyle w:val="Compact"/>
            </w:pPr>
            <w:r>
              <w:t xml:space="preserve">مسؤولية (R)</w:t>
            </w:r>
          </w:p>
        </w:tc>
        <w:tc>
          <w:tcPr/>
          <w:p>
            <w:pPr>
              <w:pStyle w:val="Compact"/>
            </w:pPr>
            <w:r>
              <w:t xml:space="preserve">مسؤولية (R)</w:t>
            </w:r>
          </w:p>
        </w:tc>
        <w:tc>
          <w:tcPr/>
          <w:p>
            <w:pPr>
              <w:pStyle w:val="Compact"/>
            </w:pPr>
            <w:r>
              <w:t xml:space="preserve">مسؤولية (R)</w:t>
            </w:r>
          </w:p>
        </w:tc>
        <w:tc>
          <w:tcPr/>
          <w:p>
            <w:pPr>
              <w:pStyle w:val="Compact"/>
            </w:pPr>
            <w:r>
              <w:t xml:space="preserve">P</w:t>
            </w:r>
          </w:p>
        </w:tc>
        <w:tc>
          <w:tcPr/>
          <w:p>
            <w:pPr>
              <w:pStyle w:val="Compact"/>
            </w:pPr>
            <w:r>
              <w:t xml:space="preserve">مسؤولية (R)</w:t>
            </w:r>
          </w:p>
        </w:tc>
        <w:tc>
          <w:tcPr/>
          <w:p>
            <w:pPr>
              <w:pStyle w:val="Compact"/>
            </w:pPr>
            <w:r>
              <w:t xml:space="preserve">مسؤولية (R)</w:t>
            </w:r>
          </w:p>
        </w:tc>
      </w:tr>
      <w:tr>
        <w:tc>
          <w:tcPr/>
          <w:p>
            <w:pPr>
              <w:pStyle w:val="Compact"/>
            </w:pPr>
            <w:r>
              <w:rPr>
                <w:b/>
                <w:bCs/>
              </w:rPr>
              <w:t xml:space="preserve">مدير الجودة</w:t>
            </w:r>
          </w:p>
        </w:tc>
        <w:tc>
          <w:tcPr/>
          <w:p>
            <w:pPr>
              <w:pStyle w:val="Compact"/>
            </w:pPr>
            <w:r>
              <w:t xml:space="preserve">C</w:t>
            </w:r>
          </w:p>
        </w:tc>
        <w:tc>
          <w:tcPr/>
          <w:p>
            <w:pPr>
              <w:pStyle w:val="Compact"/>
            </w:pPr>
            <w:r>
              <w:t xml:space="preserve">مسؤولية (R)</w:t>
            </w:r>
          </w:p>
        </w:tc>
        <w:tc>
          <w:tcPr/>
          <w:p>
            <w:pPr>
              <w:pStyle w:val="Compact"/>
            </w:pPr>
            <w:r>
              <w:t xml:space="preserve">مسؤولية (R)</w:t>
            </w:r>
          </w:p>
        </w:tc>
        <w:tc>
          <w:tcPr/>
          <w:p>
            <w:pPr>
              <w:pStyle w:val="Compact"/>
            </w:pPr>
            <w:r>
              <w:t xml:space="preserve">مسؤولية (R)</w:t>
            </w:r>
          </w:p>
        </w:tc>
        <w:tc>
          <w:tcPr/>
          <w:p>
            <w:pPr>
              <w:pStyle w:val="Compact"/>
            </w:pPr>
            <w:r>
              <w:t xml:space="preserve">P</w:t>
            </w:r>
          </w:p>
        </w:tc>
        <w:tc>
          <w:tcPr/>
          <w:p>
            <w:pPr>
              <w:pStyle w:val="Compact"/>
            </w:pPr>
            <w:r>
              <w:t xml:space="preserve">مسؤولية (R)</w:t>
            </w:r>
          </w:p>
        </w:tc>
        <w:tc>
          <w:tcPr/>
          <w:p>
            <w:pPr>
              <w:pStyle w:val="Compact"/>
            </w:pPr>
            <w:r>
              <w:t xml:space="preserve">مسؤولية (R)</w:t>
            </w:r>
          </w:p>
        </w:tc>
      </w:tr>
      <w:tr>
        <w:tc>
          <w:tcPr/>
          <w:p>
            <w:pPr>
              <w:pStyle w:val="Compact"/>
            </w:pPr>
            <w:r>
              <w:rPr>
                <w:b/>
                <w:bCs/>
              </w:rPr>
              <w:t xml:space="preserve">مديرو الأقسام المعنية</w:t>
            </w:r>
          </w:p>
        </w:tc>
        <w:tc>
          <w:tcPr/>
          <w:p>
            <w:pPr>
              <w:pStyle w:val="Compact"/>
            </w:pPr>
            <w:r>
              <w:t xml:space="preserve">I</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P</w:t>
            </w:r>
          </w:p>
        </w:tc>
        <w:tc>
          <w:tcPr/>
          <w:p>
            <w:pPr>
              <w:pStyle w:val="Compact"/>
            </w:pPr>
            <w:r>
              <w:t xml:space="preserve">مسؤولية (R)</w:t>
            </w:r>
          </w:p>
        </w:tc>
        <w:tc>
          <w:tcPr/>
          <w:p>
            <w:pPr>
              <w:pStyle w:val="Compact"/>
            </w:pPr>
            <w:r>
              <w:t xml:space="preserve">C</w:t>
            </w:r>
          </w:p>
        </w:tc>
      </w:tr>
    </w:tbl>
    <w:p>
      <w:pPr>
        <w:pStyle w:val="BodyText"/>
      </w:pPr>
      <w:r>
        <w:rPr>
          <w:b/>
          <w:bCs/>
        </w:rPr>
        <w:t xml:space="preserve">مفتاح مصفوفة RACI:</w:t>
      </w:r>
      <w:r>
        <w:t xml:space="preserve"> </w:t>
      </w:r>
      <w:r>
        <w:t xml:space="preserve">*</w:t>
      </w:r>
      <w:r>
        <w:t xml:space="preserve"> </w:t>
      </w:r>
      <w:r>
        <w:rPr>
          <w:b/>
          <w:bCs/>
        </w:rPr>
        <w:t xml:space="preserve">R (Responsible):</w:t>
      </w:r>
      <w:r>
        <w:t xml:space="preserve"> </w:t>
      </w:r>
      <w:r>
        <w:t xml:space="preserve">المسؤول عن إنجاز المهمة.</w:t>
      </w:r>
      <w:r>
        <w:t xml:space="preserve"> </w:t>
      </w:r>
      <w:r>
        <w:t xml:space="preserve">*</w:t>
      </w:r>
      <w:r>
        <w:t xml:space="preserve"> </w:t>
      </w:r>
      <w:r>
        <w:rPr>
          <w:b/>
          <w:bCs/>
        </w:rPr>
        <w:t xml:space="preserve">A (Accountable):</w:t>
      </w:r>
      <w:r>
        <w:t xml:space="preserve"> </w:t>
      </w:r>
      <w:r>
        <w:t xml:space="preserve">المسؤول الأعلى عن المهمة (مالك المهمة)، وهو الذي يوافق على إنجازها. A واحد فقط لكل مهمة.</w:t>
      </w:r>
      <w:r>
        <w:t xml:space="preserve"> </w:t>
      </w:r>
      <w:r>
        <w:t xml:space="preserve">*</w:t>
      </w:r>
      <w:r>
        <w:t xml:space="preserve"> </w:t>
      </w:r>
      <w:r>
        <w:rPr>
          <w:b/>
          <w:bCs/>
        </w:rPr>
        <w:t xml:space="preserve">C (Consulted):</w:t>
      </w:r>
      <w:r>
        <w:t xml:space="preserve"> </w:t>
      </w:r>
      <w:r>
        <w:t xml:space="preserve">يتم استشارته قبل اتخاذ القرار أو الإجراء.</w:t>
      </w:r>
      <w:r>
        <w:t xml:space="preserve"> </w:t>
      </w:r>
      <w:r>
        <w:t xml:space="preserve">*</w:t>
      </w:r>
      <w:r>
        <w:t xml:space="preserve"> </w:t>
      </w:r>
      <w:r>
        <w:rPr>
          <w:b/>
          <w:bCs/>
        </w:rPr>
        <w:t xml:space="preserve">I (Informed):</w:t>
      </w:r>
      <w:r>
        <w:t xml:space="preserve"> </w:t>
      </w:r>
      <w:r>
        <w:t xml:space="preserve">يتم إبلاغه بعد اتخاذ القرار أو الإجراء.</w:t>
      </w:r>
    </w:p>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التخطيط لاجتماع مراجعة الإدارة:</w:t>
      </w:r>
      <w:r>
        <w:t xml:space="preserve"> </w:t>
      </w:r>
      <w:r>
        <w:t xml:space="preserve">6-1-1. يقوم FSTL/مدير الجودة بالتخطيط لاجتماعات مراجعة الإدارة بشكل منتظم، على الأقل</w:t>
      </w:r>
      <w:r>
        <w:t xml:space="preserve"> </w:t>
      </w:r>
      <w:r>
        <w:rPr>
          <w:b/>
          <w:bCs/>
        </w:rPr>
        <w:t xml:space="preserve">مرة واحدة كل 12 شهراً</w:t>
      </w:r>
      <w:r>
        <w:t xml:space="preserve">، أو كلما دعت الحاجة إلى ذلك نتيجة لتغيرات كبيرة في النظام أو الأداء أو المتطلبات (من/FSTL/مدير الجودة، ماذا/تخطيط اجتماع، متى/بشكل منتظم وعلى الأقل سنوياً، أين/مكتب الإدارة، كيف/إعداد جدول زمني للاجتماعات). (مرجع: FSSC 22000 v6 §2.5.5.1).</w:t>
      </w:r>
      <w:r>
        <w:t xml:space="preserve"> </w:t>
      </w:r>
      <w:r>
        <w:t xml:space="preserve">6-1-2. يقوم FSTL/مدير الجودة بإعداد أجندة شاملة لاجتماع مراجعة الإدارة متضمنة جميع المدخلات الإلزامية المنصوص عليها في البند 6-2 من هذا الإجراء، وتحديد المشاركين المطلوب حضورهم من الإدارة العليا وممثلي الأقسام المعنية (من/FSTL/مدير الجودة، ماذا/إعداد أجندة)، مع إرسال الدعوة والأجندة للمشاركين قبل الاجتماع بوقت كافٍ (أسبوع عمل على الأقل).</w:t>
      </w:r>
    </w:p>
    <w:p>
      <w:pPr>
        <w:pStyle w:val="BodyText"/>
      </w:pPr>
      <w:r>
        <w:rPr>
          <w:b/>
          <w:bCs/>
        </w:rPr>
        <w:t xml:space="preserve">6-2. مدخلات مراجعة الإدارة:</w:t>
      </w:r>
      <w:r>
        <w:t xml:space="preserve"> </w:t>
      </w:r>
      <w:r>
        <w:t xml:space="preserve">يجب على الإدارة العليا مراجعة المدخلات التالية، كحد أدنى، لضمان تقييم شامل وفعال للنظام: (مرجع: ISO 22000:2018 §9.3.2، FSSC 22000 v6 §2.5.5)</w:t>
      </w:r>
      <w:r>
        <w:t xml:space="preserve"> </w:t>
      </w:r>
      <w:r>
        <w:t xml:space="preserve">6-2-1.</w:t>
      </w:r>
      <w:r>
        <w:t xml:space="preserve"> </w:t>
      </w:r>
      <w:r>
        <w:rPr>
          <w:b/>
          <w:bCs/>
        </w:rPr>
        <w:t xml:space="preserve">الإجراءات الناتجة عن مراجعات الإدارة السابقة</w:t>
      </w:r>
      <w:r>
        <w:t xml:space="preserve"> </w:t>
      </w:r>
      <w:r>
        <w:t xml:space="preserve">ومدى فعاليتها في التنفيذ والإغلاق.</w:t>
      </w:r>
      <w:r>
        <w:t xml:space="preserve"> </w:t>
      </w:r>
      <w:r>
        <w:t xml:space="preserve">6-2-2.</w:t>
      </w:r>
      <w:r>
        <w:t xml:space="preserve"> </w:t>
      </w:r>
      <w:r>
        <w:rPr>
          <w:b/>
          <w:bCs/>
        </w:rPr>
        <w:t xml:space="preserve">التغييرات في القضايا الخارجية والداخلية ذات الصلة بنظام إدارة سلامة الغذاء والجودة</w:t>
      </w:r>
      <w:r>
        <w:t xml:space="preserve">، بما في ذلك التغييرات في سياق المنظمة والأطراف المهتمة ومتطلبات الأيزو والتشريعات المحلية (NFSA قرار 6/2023،ES 1589/2007، ES 190، قرار 458/2007). (مرجع: ISO 22000:2018 §4.1, §4.2, §6.1).</w:t>
      </w:r>
      <w:r>
        <w:t xml:space="preserve"> </w:t>
      </w:r>
      <w:r>
        <w:t xml:space="preserve">6-2-3.</w:t>
      </w:r>
      <w:r>
        <w:t xml:space="preserve"> </w:t>
      </w:r>
      <w:r>
        <w:rPr>
          <w:b/>
          <w:bCs/>
        </w:rPr>
        <w:t xml:space="preserve">المعلومات المتعلقة بأداء وفعالية نظام إدارة سلامة الغذاء والجودة وكفاءته وملاءمته واتجاهاته، بما في ذلك ما يلي:</w:t>
      </w:r>
      <w:r>
        <w:t xml:space="preserve"> </w:t>
      </w:r>
      <w:r>
        <w:t xml:space="preserve">*</w:t>
      </w:r>
      <w:r>
        <w:t xml:space="preserve"> </w:t>
      </w:r>
      <w:r>
        <w:rPr>
          <w:b/>
          <w:bCs/>
        </w:rPr>
        <w:t xml:space="preserve">أ. نتائج أنشطة التحقق والتحقق من الصحة والتقييم</w:t>
      </w:r>
      <w:r>
        <w:t xml:space="preserve"> </w:t>
      </w:r>
      <w:r>
        <w:t xml:space="preserve">فيما يتعلق ببرامج المتطلبات المسبقة (PRPs) ونظام الهاسب (HACCP) ومراقبة العمليات (مرجع: ISO 22000:2018 §8.5, §8.6, §8.7).</w:t>
      </w:r>
      <w:r>
        <w:t xml:space="preserve"> </w:t>
      </w:r>
      <w:r>
        <w:t xml:space="preserve">*</w:t>
      </w:r>
      <w:r>
        <w:t xml:space="preserve"> </w:t>
      </w:r>
      <w:r>
        <w:rPr>
          <w:b/>
          <w:bCs/>
        </w:rPr>
        <w:t xml:space="preserve">ب. نتائج المراجعات الداخلية والخارجية</w:t>
      </w:r>
      <w:r>
        <w:t xml:space="preserve"> </w:t>
      </w:r>
      <w:r>
        <w:t xml:space="preserve">بما في ذلك أي حالات عدم مطابقة رئيسية أو صغرى، أو فرص للتحسين. (مرجع: ISO 22000:2018 §9.2).</w:t>
      </w:r>
      <w:r>
        <w:t xml:space="preserve"> </w:t>
      </w:r>
      <w:r>
        <w:t xml:space="preserve">*</w:t>
      </w:r>
      <w:r>
        <w:t xml:space="preserve"> </w:t>
      </w:r>
      <w:r>
        <w:rPr>
          <w:b/>
          <w:bCs/>
        </w:rPr>
        <w:t xml:space="preserve">ج. نتائج التحقق الخارجي من فعالية النظام</w:t>
      </w:r>
      <w:r>
        <w:t xml:space="preserve"> </w:t>
      </w:r>
      <w:r>
        <w:t xml:space="preserve">(تدقيقات الاعتماد FSSC، تفتيش NFSA). (مرجع: FSSC 22000 v6 §2.5.5).</w:t>
      </w:r>
      <w:r>
        <w:t xml:space="preserve"> </w:t>
      </w:r>
      <w:r>
        <w:t xml:space="preserve">*</w:t>
      </w:r>
      <w:r>
        <w:t xml:space="preserve"> </w:t>
      </w:r>
      <w:r>
        <w:rPr>
          <w:b/>
          <w:bCs/>
        </w:rPr>
        <w:t xml:space="preserve">د. نتائج تحليل وتقييم مؤشرات الأداء الرئيسية (KPIs)</w:t>
      </w:r>
      <w:r>
        <w:t xml:space="preserve"> </w:t>
      </w:r>
      <w:r>
        <w:t xml:space="preserve">الخاصة بالجودة وسلامة الغذاء. (مرجع: ISO 22000:2018 §9.1.1).</w:t>
      </w:r>
      <w:r>
        <w:t xml:space="preserve"> </w:t>
      </w:r>
      <w:r>
        <w:t xml:space="preserve">*</w:t>
      </w:r>
      <w:r>
        <w:t xml:space="preserve"> </w:t>
      </w:r>
      <w:r>
        <w:rPr>
          <w:b/>
          <w:bCs/>
        </w:rPr>
        <w:t xml:space="preserve">هـ. حالات عدم المطابقة والإجراءات التصحيحية المتخذة</w:t>
      </w:r>
      <w:r>
        <w:t xml:space="preserve">، بما في ذلك الأسباب الجذرية وإجراءات الإغلاق. (مرجع: ISO 22000:2018 §10.2).</w:t>
      </w:r>
      <w:r>
        <w:t xml:space="preserve"> </w:t>
      </w:r>
      <w:r>
        <w:t xml:space="preserve">*</w:t>
      </w:r>
      <w:r>
        <w:t xml:space="preserve"> </w:t>
      </w:r>
      <w:r>
        <w:rPr>
          <w:b/>
          <w:bCs/>
        </w:rPr>
        <w:t xml:space="preserve">و. أداء الموردين الخارجيين</w:t>
      </w:r>
      <w:r>
        <w:t xml:space="preserve"> </w:t>
      </w:r>
      <w:r>
        <w:t xml:space="preserve">وتقييمهم الدوري. (مرجع: ISO 22000:2018 §7.1.5, §8.5.2).</w:t>
      </w:r>
      <w:r>
        <w:t xml:space="preserve"> </w:t>
      </w:r>
      <w:r>
        <w:t xml:space="preserve">*</w:t>
      </w:r>
      <w:r>
        <w:t xml:space="preserve"> </w:t>
      </w:r>
      <w:r>
        <w:rPr>
          <w:b/>
          <w:bCs/>
        </w:rPr>
        <w:t xml:space="preserve">ز. مدى تحقيق أهداف سلامة الغذاء والجودة</w:t>
      </w:r>
      <w:r>
        <w:t xml:space="preserve">. (مرجع: ISO 22000:2018 §6.2).</w:t>
      </w:r>
      <w:r>
        <w:t xml:space="preserve"> </w:t>
      </w:r>
      <w:r>
        <w:t xml:space="preserve">*</w:t>
      </w:r>
      <w:r>
        <w:t xml:space="preserve"> </w:t>
      </w:r>
      <w:r>
        <w:rPr>
          <w:b/>
          <w:bCs/>
        </w:rPr>
        <w:t xml:space="preserve">ح. ملاحظات وأراء الأطراف المهتمة ذات الصلة</w:t>
      </w:r>
      <w:r>
        <w:t xml:space="preserve"> </w:t>
      </w:r>
      <w:r>
        <w:t xml:space="preserve">(العملاء، المشرعين، الموظفين، المجتمع) بما في ذلك شكاوى العملاء والتغذية المرتدة عن المنتج والخدمة. (مرجع: ISO 9001:2015 §9.1.2).</w:t>
      </w:r>
      <w:r>
        <w:t xml:space="preserve"> </w:t>
      </w:r>
      <w:r>
        <w:t xml:space="preserve">*</w:t>
      </w:r>
      <w:r>
        <w:t xml:space="preserve"> </w:t>
      </w:r>
      <w:r>
        <w:rPr>
          <w:b/>
          <w:bCs/>
        </w:rPr>
        <w:t xml:space="preserve">ط. نتائج الأنشطة التصحيحية</w:t>
      </w:r>
      <w:r>
        <w:t xml:space="preserve"> </w:t>
      </w:r>
      <w:r>
        <w:t xml:space="preserve">المنفذة. (مرجع: ISO 22000:2018 §10.2).</w:t>
      </w:r>
      <w:r>
        <w:t xml:space="preserve"> </w:t>
      </w:r>
      <w:r>
        <w:t xml:space="preserve">*</w:t>
      </w:r>
      <w:r>
        <w:t xml:space="preserve"> </w:t>
      </w:r>
      <w:r>
        <w:rPr>
          <w:b/>
          <w:bCs/>
        </w:rPr>
        <w:t xml:space="preserve">ي. كفاية الموارد الحالية</w:t>
      </w:r>
      <w:r>
        <w:t xml:space="preserve"> </w:t>
      </w:r>
      <w:r>
        <w:t xml:space="preserve">(بما في ذلك الموارد البشرية، البنية التحتية، بيئة العمل، وأي موارد أخرى لازمة للحفاظ على نظام سلامة الغذاء). (مرجع: ISO 22000:2018 §7.1).</w:t>
      </w:r>
      <w:r>
        <w:t xml:space="preserve"> </w:t>
      </w:r>
      <w:r>
        <w:t xml:space="preserve">*</w:t>
      </w:r>
      <w:r>
        <w:t xml:space="preserve"> </w:t>
      </w:r>
      <w:r>
        <w:rPr>
          <w:b/>
          <w:bCs/>
        </w:rPr>
        <w:t xml:space="preserve">ك. فعالية الإجراءات المتخذة للتعامل مع المخاطر والفرص</w:t>
      </w:r>
      <w:r>
        <w:t xml:space="preserve"> </w:t>
      </w:r>
      <w:r>
        <w:t xml:space="preserve">المحددة في سياق المنظمة. (مرجع: ISO 22000:2018 §6.1).</w:t>
      </w:r>
      <w:r>
        <w:t xml:space="preserve"> </w:t>
      </w:r>
      <w:r>
        <w:t xml:space="preserve">*</w:t>
      </w:r>
      <w:r>
        <w:t xml:space="preserve"> </w:t>
      </w:r>
      <w:r>
        <w:rPr>
          <w:b/>
          <w:bCs/>
        </w:rPr>
        <w:t xml:space="preserve">ل. حالات الطوارئ ووقائع سلامة الغذاء</w:t>
      </w:r>
      <w:r>
        <w:t xml:space="preserve"> </w:t>
      </w:r>
      <w:r>
        <w:t xml:space="preserve">(مثل حالات سحب/استدعاء المنتجات) والتحقيقات ذات الصلة. (مرجع: ISO 22000:2018 §8.4.4).</w:t>
      </w:r>
      <w:r>
        <w:t xml:space="preserve"> </w:t>
      </w:r>
      <w:r>
        <w:t xml:space="preserve">*</w:t>
      </w:r>
      <w:r>
        <w:t xml:space="preserve"> </w:t>
      </w:r>
      <w:r>
        <w:rPr>
          <w:b/>
          <w:bCs/>
        </w:rPr>
        <w:t xml:space="preserve">م. نتائج تحديث نظام إدارة سلامة الغذاء</w:t>
      </w:r>
      <w:r>
        <w:t xml:space="preserve"> </w:t>
      </w:r>
      <w:r>
        <w:t xml:space="preserve">(على سبيل المثال، إجراءات التحديث، تقييمات HACCP، PRPs). (مرجع: ISO 22000:2018 §8.5.2, §10.3).</w:t>
      </w:r>
      <w:r>
        <w:t xml:space="preserve"> </w:t>
      </w:r>
      <w:r>
        <w:t xml:space="preserve">*</w:t>
      </w:r>
      <w:r>
        <w:t xml:space="preserve"> </w:t>
      </w:r>
      <w:r>
        <w:rPr>
          <w:b/>
          <w:bCs/>
        </w:rPr>
        <w:t xml:space="preserve">ن. فرص التحسين المستمر</w:t>
      </w:r>
      <w:r>
        <w:t xml:space="preserve"> </w:t>
      </w:r>
      <w:r>
        <w:t xml:space="preserve">للنظام. (مرجع: ISO 22000:2018 §10.3).</w:t>
      </w:r>
    </w:p>
    <w:p>
      <w:pPr>
        <w:pStyle w:val="BodyText"/>
      </w:pPr>
      <w:r>
        <w:rPr>
          <w:b/>
          <w:bCs/>
        </w:rPr>
        <w:t xml:space="preserve">6-3. مخرجات مراجعة الإدارة:</w:t>
      </w:r>
      <w:r>
        <w:t xml:space="preserve"> </w:t>
      </w:r>
      <w:r>
        <w:t xml:space="preserve">يجب على الإدارة العليا اتخاذ القرارات والإجراءات المتفق عليها بناءً على مراجعة المدخلات، وتشمل المخرجات التالية على الأقل: (مرجع: ISO 22000:2018 §9.3.3، FSSC 22000 v6 §2.5.5)</w:t>
      </w:r>
      <w:r>
        <w:t xml:space="preserve"> </w:t>
      </w:r>
      <w:r>
        <w:t xml:space="preserve">6-3-1.</w:t>
      </w:r>
      <w:r>
        <w:t xml:space="preserve"> </w:t>
      </w:r>
      <w:r>
        <w:rPr>
          <w:b/>
          <w:bCs/>
        </w:rPr>
        <w:t xml:space="preserve">قرارات وإجراءات متعلقة بفرص التحسين المستمر</w:t>
      </w:r>
      <w:r>
        <w:t xml:space="preserve"> </w:t>
      </w:r>
      <w:r>
        <w:t xml:space="preserve">لنظام إدارة سلامة الغذاء والجودة وفعاليته. (مرجع: ISO 22000:2018 §10.3).</w:t>
      </w:r>
      <w:r>
        <w:t xml:space="preserve"> </w:t>
      </w:r>
      <w:r>
        <w:t xml:space="preserve">6-3-2.</w:t>
      </w:r>
      <w:r>
        <w:t xml:space="preserve"> </w:t>
      </w:r>
      <w:r>
        <w:rPr>
          <w:b/>
          <w:bCs/>
        </w:rPr>
        <w:t xml:space="preserve">أي تغييرات ضرورية في نظام إدارة سلامة الغذاء والجودة</w:t>
      </w:r>
      <w:r>
        <w:t xml:space="preserve">، بما في ذلك التغييرات في المراجع، والإجراءات، ونظام الهاسب (HACCP) أو PRPs (مرجع: ISO 22000:2018 §8.5.2).</w:t>
      </w:r>
      <w:r>
        <w:t xml:space="preserve"> </w:t>
      </w:r>
      <w:r>
        <w:t xml:space="preserve">6-3-3.</w:t>
      </w:r>
      <w:r>
        <w:t xml:space="preserve"> </w:t>
      </w:r>
      <w:r>
        <w:rPr>
          <w:b/>
          <w:bCs/>
        </w:rPr>
        <w:t xml:space="preserve">تحديد أي موارد مطلوبة أو تغييرات في الموارد الحالية</w:t>
      </w:r>
      <w:r>
        <w:t xml:space="preserve"> </w:t>
      </w:r>
      <w:r>
        <w:t xml:space="preserve">لضمان استمرارية الحفاظ على نظام فعال لسلامة الغذاء والجودة. (مرجع: ISO 22000:2018 §7.1).</w:t>
      </w:r>
      <w:r>
        <w:t xml:space="preserve"> </w:t>
      </w:r>
      <w:r>
        <w:t xml:space="preserve">6-3-4.</w:t>
      </w:r>
      <w:r>
        <w:t xml:space="preserve"> </w:t>
      </w:r>
      <w:r>
        <w:rPr>
          <w:b/>
          <w:bCs/>
        </w:rPr>
        <w:t xml:space="preserve">قرارات وإجراءات لضمان سلامة المنتج النهائية</w:t>
      </w:r>
      <w:r>
        <w:t xml:space="preserve"> </w:t>
      </w:r>
      <w:r>
        <w:t xml:space="preserve">(المياه المعبأة/المعدنية) ومطابقتها للمتطلبات.</w:t>
      </w:r>
      <w:r>
        <w:t xml:space="preserve"> </w:t>
      </w:r>
      <w:r>
        <w:t xml:space="preserve">6-3-5.</w:t>
      </w:r>
      <w:r>
        <w:t xml:space="preserve"> </w:t>
      </w:r>
      <w:r>
        <w:rPr>
          <w:b/>
          <w:bCs/>
        </w:rPr>
        <w:t xml:space="preserve">الحاجة إلى تحديثات لسياسة سلامة الغذاء والجودة أو أهدافها</w:t>
      </w:r>
      <w:r>
        <w:t xml:space="preserve">، إن وجدت. (مرجع: ISO 22000:2018 §5.2, §6.2).</w:t>
      </w:r>
      <w:r>
        <w:t xml:space="preserve"> </w:t>
      </w:r>
      <w:r>
        <w:t xml:space="preserve">6-3-6.</w:t>
      </w:r>
      <w:r>
        <w:t xml:space="preserve"> </w:t>
      </w:r>
      <w:r>
        <w:rPr>
          <w:b/>
          <w:bCs/>
        </w:rPr>
        <w:t xml:space="preserve">تحديد المسؤوليات وتخصيص الموارد</w:t>
      </w:r>
      <w:r>
        <w:t xml:space="preserve"> </w:t>
      </w:r>
      <w:r>
        <w:t xml:space="preserve">لتنفيذ القرارات المتخذة، مع تحديد جداول زمنية واضحة للمتابعة. (مرجع: ISO 22000:2018 §5.1).</w:t>
      </w:r>
      <w:r>
        <w:t xml:space="preserve"> </w:t>
      </w:r>
      <w:r>
        <w:t xml:space="preserve">6-3-7. التأكد من الامتثال المستمر للمتطلبات القانونية والتنظيمية المصرية (NFSA قرار 6/2023،ES 1589/2007، ES 190، قرار 458/2007) وأي إجراءات تصحيحية ضرورية.</w:t>
      </w:r>
    </w:p>
    <w:p>
      <w:pPr>
        <w:pStyle w:val="BodyText"/>
      </w:pPr>
      <w:r>
        <w:rPr>
          <w:b/>
          <w:bCs/>
        </w:rPr>
        <w:t xml:space="preserve">6-4. تنفيذ ومتابعة مخرجات مراجعة الإدارة:</w:t>
      </w:r>
      <w:r>
        <w:t xml:space="preserve"> </w:t>
      </w:r>
      <w:r>
        <w:t xml:space="preserve">6-4-1. يقوم FSTL/مدير الجودة بإعداد تقرير مفصل لاجتماع مراجعة الإدارة باستخدام نموذج (F-06-02)، يوثق فيه جميع المدخلات، المناقشات، القرارات، والإجراءات المتفق عليها، مع تحديد المسؤوليات والجداول الزمنية للتنفيذ (من/FSTL/مدير الجودة، ماذا/إعداد تقرير، متى/بعد الاجتماع مباشرة، أين/مكتب FSTL، كيف/استخدام النموذج).</w:t>
      </w:r>
      <w:r>
        <w:t xml:space="preserve"> </w:t>
      </w:r>
      <w:r>
        <w:t xml:space="preserve">6-4-2. يوزع التقرير على الإدارة العليا وجميع المشاركين والمعنيين فور اعتماده (من/FSTL/مدير الجودة، ماذا/توزيع التقرير، متى/بعد الاعتماد، أين/البريد الإلكتروني/النسخ المطبوعة).</w:t>
      </w:r>
      <w:r>
        <w:t xml:space="preserve"> </w:t>
      </w:r>
      <w:r>
        <w:t xml:space="preserve">6-4-3. يقوم FSTL/مدير الجودة بمتابعة تنفيذ القرارات والإجراءات المتفق عليها بشكل دوري، وتسجيل حالة التنفيذ في نموذج (F-06-03)</w:t>
      </w:r>
      <w:r>
        <w:t xml:space="preserve"> </w:t>
      </w:r>
      <w:r>
        <w:t xml:space="preserve">“متابعة مراجعات الإدارة”</w:t>
      </w:r>
      <w:r>
        <w:t xml:space="preserve"> </w:t>
      </w:r>
      <w:r>
        <w:t xml:space="preserve">(من/FSTL/مدير الجودة، ماذا/متابعة التنفيذ، متى/بشكل دوري، أين/ملف متابعة، كيف/ملء النموذج).</w:t>
      </w:r>
      <w:r>
        <w:t xml:space="preserve"> </w:t>
      </w:r>
      <w:r>
        <w:t xml:space="preserve">6-4-4. يتم تصعيد أي تأخير أو عوائق في تنفيذ القرارات إلى الإدارة العليا لاتخاذ الإجراءات التصحيحية المناسبة. (مرجع: ISO 22000:2018 §5.1, §10.2).</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F-06-01</w:t>
            </w:r>
          </w:p>
        </w:tc>
        <w:tc>
          <w:tcPr/>
          <w:p>
            <w:pPr>
              <w:pStyle w:val="Compact"/>
            </w:pPr>
            <w:r>
              <w:t xml:space="preserve">أجندة مراجعة الإدارة</w:t>
            </w:r>
          </w:p>
        </w:tc>
        <w:tc>
          <w:tcPr/>
          <w:p>
            <w:pPr>
              <w:pStyle w:val="Compact"/>
            </w:pPr>
            <w:r>
              <w:t xml:space="preserve">FSTL/مدير الجودة</w:t>
            </w:r>
          </w:p>
        </w:tc>
        <w:tc>
          <w:tcPr/>
          <w:p>
            <w:pPr>
              <w:pStyle w:val="Compact"/>
            </w:pPr>
            <w:r>
              <w:t xml:space="preserve">5 سنوات (أو وفقًا للمدة القانونية لأقدم منتج)</w:t>
            </w:r>
          </w:p>
        </w:tc>
        <w:tc>
          <w:tcPr/>
          <w:p>
            <w:pPr>
              <w:pStyle w:val="Compact"/>
            </w:pPr>
            <w:r>
              <w:t xml:space="preserve">تاريخ الاجتماع، المشاركون، قائمة المدخلات لمراجعتها، عناصر المناقشة، الأغراض.</w:t>
            </w:r>
          </w:p>
        </w:tc>
      </w:tr>
      <w:tr>
        <w:tc>
          <w:tcPr/>
          <w:p>
            <w:pPr>
              <w:pStyle w:val="Compact"/>
            </w:pPr>
            <w:r>
              <w:t xml:space="preserve">F-06-02</w:t>
            </w:r>
          </w:p>
        </w:tc>
        <w:tc>
          <w:tcPr/>
          <w:p>
            <w:pPr>
              <w:pStyle w:val="Compact"/>
            </w:pPr>
            <w:r>
              <w:t xml:space="preserve">تقرير مراجعة الإدارة</w:t>
            </w:r>
          </w:p>
        </w:tc>
        <w:tc>
          <w:tcPr/>
          <w:p>
            <w:pPr>
              <w:pStyle w:val="Compact"/>
            </w:pPr>
            <w:r>
              <w:t xml:space="preserve">FSTL/مدير الجودة</w:t>
            </w:r>
          </w:p>
        </w:tc>
        <w:tc>
          <w:tcPr/>
          <w:p>
            <w:pPr>
              <w:pStyle w:val="Compact"/>
            </w:pPr>
            <w:r>
              <w:t xml:space="preserve">5 سنوات (أو وفقًا للمدة القانونية لأقدم منتج)</w:t>
            </w:r>
          </w:p>
        </w:tc>
        <w:tc>
          <w:tcPr/>
          <w:p>
            <w:pPr>
              <w:pStyle w:val="Compact"/>
            </w:pPr>
            <w:r>
              <w:t xml:space="preserve">ملخص المدخلات، تفاصيل المناقشات والنتائج، القرارات المتخذة، الإجراءات والتوصيات، أصحاب المسؤوليات، المواعيد النهائية، مخرجات الاجتماع (فرص التحسين، التغييرات اللازمة، الموارد).</w:t>
            </w:r>
          </w:p>
        </w:tc>
      </w:tr>
      <w:tr>
        <w:tc>
          <w:tcPr/>
          <w:p>
            <w:pPr>
              <w:pStyle w:val="Compact"/>
            </w:pPr>
            <w:r>
              <w:t xml:space="preserve">F-06-03</w:t>
            </w:r>
          </w:p>
        </w:tc>
        <w:tc>
          <w:tcPr/>
          <w:p>
            <w:pPr>
              <w:pStyle w:val="Compact"/>
            </w:pPr>
            <w:r>
              <w:t xml:space="preserve">متابعة مراجعات الإدارة</w:t>
            </w:r>
          </w:p>
        </w:tc>
        <w:tc>
          <w:tcPr/>
          <w:p>
            <w:pPr>
              <w:pStyle w:val="Compact"/>
            </w:pPr>
            <w:r>
              <w:t xml:space="preserve">FSTL/مدير الجودة</w:t>
            </w:r>
          </w:p>
        </w:tc>
        <w:tc>
          <w:tcPr/>
          <w:p>
            <w:pPr>
              <w:pStyle w:val="Compact"/>
            </w:pPr>
            <w:r>
              <w:t xml:space="preserve">5 سنوات (أو وفقًا للمدة القانونية لأقدم منتج)</w:t>
            </w:r>
          </w:p>
        </w:tc>
        <w:tc>
          <w:tcPr/>
          <w:p>
            <w:pPr>
              <w:pStyle w:val="Compact"/>
            </w:pPr>
            <w:r>
              <w:t xml:space="preserve">الإجراء/القرار المتخذ، المسؤول عن التنفيذ، تاريخ التنفيذ المخطط، تاريخ التنفيذ الفعلي، حالة التنفيذ، أي ملاحظات أو إجراءات تصحيحية إضافية.</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03"/>
        </w:numPr>
      </w:pPr>
      <w:r>
        <w:rPr>
          <w:b/>
          <w:bCs/>
        </w:rPr>
        <w:t xml:space="preserve">100% عقد لاجتماعات مراجعة الإدارة حسب التكرار المخطط له</w:t>
      </w:r>
      <w:r>
        <w:t xml:space="preserve"> </w:t>
      </w:r>
      <w:r>
        <w:t xml:space="preserve">(على الأقل مرة واحدة سنوياً). يرتبط بـ ISO 22000:2018 §9.3.1.</w:t>
      </w:r>
    </w:p>
    <w:p>
      <w:pPr>
        <w:pStyle w:val="Compact"/>
        <w:numPr>
          <w:ilvl w:val="0"/>
          <w:numId w:val="1003"/>
        </w:numPr>
      </w:pPr>
      <w:r>
        <w:rPr>
          <w:b/>
          <w:bCs/>
        </w:rPr>
        <w:t xml:space="preserve">≥ 95% نسبة إغلاق الإجراءات والقرارات المتخذة في مراجعات الإدارة السابقة في المواعيد المحددة.</w:t>
      </w:r>
      <w:r>
        <w:t xml:space="preserve"> </w:t>
      </w:r>
      <w:r>
        <w:t xml:space="preserve">يقيس فعالية متابعة وتنفيذ القرارات. (مرجع: ISO 22000:2018 §9.3.3).</w:t>
      </w:r>
    </w:p>
    <w:p>
      <w:pPr>
        <w:pStyle w:val="Compact"/>
        <w:numPr>
          <w:ilvl w:val="0"/>
          <w:numId w:val="1003"/>
        </w:numPr>
      </w:pPr>
      <w:r>
        <w:rPr>
          <w:b/>
          <w:bCs/>
        </w:rPr>
        <w:t xml:space="preserve">≥ 90% تحقيق لأهداف سلامة الغذاء والجودة المحددة</w:t>
      </w:r>
      <w:r>
        <w:t xml:space="preserve"> </w:t>
      </w:r>
      <w:r>
        <w:t xml:space="preserve">في كل فترة مراجعة. (مرجع: ISO 22000:2018 §6.2, §9.1.1).</w:t>
      </w:r>
    </w:p>
    <w:p>
      <w:pPr>
        <w:pStyle w:val="Compact"/>
        <w:numPr>
          <w:ilvl w:val="0"/>
          <w:numId w:val="1003"/>
        </w:numPr>
      </w:pPr>
      <w:r>
        <w:rPr>
          <w:b/>
          <w:bCs/>
        </w:rPr>
        <w:t xml:space="preserve">0 حالات عدم مطابقة كبرى (Major NCs) تتعلق بنظام مراجعة الإدارة</w:t>
      </w:r>
      <w:r>
        <w:t xml:space="preserve"> </w:t>
      </w:r>
      <w:r>
        <w:t xml:space="preserve">في التدقيقات الخارجية (FSSC، NFSA).</w:t>
      </w:r>
    </w:p>
    <w:p>
      <w:pPr>
        <w:pStyle w:val="Compact"/>
        <w:numPr>
          <w:ilvl w:val="0"/>
          <w:numId w:val="1003"/>
        </w:numPr>
      </w:pPr>
      <w:r>
        <w:rPr>
          <w:b/>
          <w:bCs/>
        </w:rPr>
        <w:t xml:space="preserve">تقديم FSTL/مدير الجودة تقريراً تحليلياً عن فعالية أداء مراجعة الإدارة</w:t>
      </w:r>
      <w:r>
        <w:t xml:space="preserve"> </w:t>
      </w:r>
      <w:r>
        <w:t xml:space="preserve">مرة سنوياً ضمن مدخلات المراجعة التالية، يشتمل على فرص التحسين في عملية المراجعة نفسها.</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6 - FSP-06</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2026-07-04T12:55:13Z</dcterms:created>
  <dcterms:modified xsi:type="dcterms:W3CDTF">2026-07-04T12:55:13Z</dcterms:modified>
</cp:coreProperties>
</file>

<file path=docProps/custom.xml><?xml version="1.0" encoding="utf-8"?>
<Properties xmlns="http://schemas.openxmlformats.org/officeDocument/2006/custom-properties" xmlns:vt="http://schemas.openxmlformats.org/officeDocument/2006/docPropsVTypes"/>
</file>