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X03cef4314b8aa390e318dc4a1235d0ccb9e0c3a"/>
    <w:p>
      <w:pPr>
        <w:pStyle w:val="Heading1"/>
      </w:pPr>
      <w:r>
        <w:t xml:space="preserve">شركة الأزواك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إدارة-المخازن-والتخزين"/>
    <w:p>
      <w:pPr>
        <w:pStyle w:val="Heading1"/>
      </w:pPr>
      <w:r>
        <w:t xml:space="preserve">إدارة المخازن والتخزين</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إدارة المخازن والتخزين</w:t>
            </w:r>
          </w:p>
        </w:tc>
      </w:tr>
      <w:tr>
        <w:tc>
          <w:tcPr/>
          <w:p>
            <w:pPr>
              <w:pStyle w:val="Compact"/>
            </w:pPr>
            <w:r>
              <w:rPr>
                <w:b/>
                <w:bCs/>
              </w:rPr>
              <w:t xml:space="preserve">كود الوثيقة</w:t>
            </w:r>
          </w:p>
        </w:tc>
        <w:tc>
          <w:tcPr/>
          <w:p>
            <w:pPr>
              <w:pStyle w:val="Compact"/>
            </w:pPr>
            <w:r>
              <w:t xml:space="preserve">FSP-21</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الإجراء-رقم-21-إدارة-المخازن-والتخزين"/>
    <w:p>
      <w:pPr>
        <w:pStyle w:val="Heading1"/>
      </w:pPr>
      <w:r>
        <w:t xml:space="preserve">الإجراء رقم 21: إدارة المخازن والتخزين</w:t>
      </w:r>
    </w:p>
    <w:bookmarkStart w:id="12" w:name="الغرض-purpose"/>
    <w:p>
      <w:pPr>
        <w:pStyle w:val="Heading3"/>
      </w:pPr>
      <w:r>
        <w:t xml:space="preserve">1. الغرض (Purpose)</w:t>
      </w:r>
    </w:p>
    <w:p>
      <w:pPr>
        <w:pStyle w:val="FirstParagraph"/>
      </w:pPr>
      <w:r>
        <w:t xml:space="preserve">يهدف هذا الإجراء إلى تحديد وتوثيق المتطلبات والمسؤوليات والخطوات التفصيلية لإدارة أنشطة استلام، فحص، تخزين، مناولة، صرف، ونقل المواد الخام، مواد التعبئة والتغليف، ومواد التنظيف، وقطع الغيار، والمنتج النهائي في</w:t>
      </w:r>
      <w:r>
        <w:t xml:space="preserve"> </w:t>
      </w:r>
      <w:r>
        <w:t xml:space="preserve">“مرافق لتعبئة المياه الطبيعية”</w:t>
      </w:r>
      <w:r>
        <w:t xml:space="preserve">. يضمن هذا الإجراء الحفاظ على سلامة وجودة هذه المواد، ومنع تلوثها، وفقدان قابلية تتبعها، وذلك بما يتوافق مع متطلبات نظام إدارة سلامة الغذاء والجودة والمواصفات القياسية والتشريعات ذات الصلة.</w:t>
      </w:r>
    </w:p>
    <w:bookmarkEnd w:id="12"/>
    <w:bookmarkStart w:id="13" w:name="النطاق-scope"/>
    <w:p>
      <w:pPr>
        <w:pStyle w:val="Heading3"/>
      </w:pPr>
      <w:r>
        <w:t xml:space="preserve">2. النطاق (Scope)</w:t>
      </w:r>
    </w:p>
    <w:p>
      <w:pPr>
        <w:pStyle w:val="FirstParagraph"/>
      </w:pPr>
      <w:r>
        <w:t xml:space="preserve">ينطبق هذا الإجراء على جميع المخازن ومناطق التخزين التابعة لمنشأة ، ويشمل جميع المواد الخام، مواد التعبئة والتغليف، المواد المضافة، منتجات التنظيف والتطهير، قطع الغيار، ومخازن المنتج النهائي والمكتبات ومخازن مستلزمات المكتب، بدءاً من استلامها وتخزينها وحتى صرفها أو نقلها من المخازن.</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HACCP</w:t>
      </w:r>
      <w:r>
        <w:t xml:space="preserve">: تحليل المخاطر ونقاط التحكم الحرجة.</w:t>
      </w:r>
    </w:p>
    <w:p>
      <w:pPr>
        <w:pStyle w:val="Compact"/>
        <w:numPr>
          <w:ilvl w:val="0"/>
          <w:numId w:val="1001"/>
        </w:numPr>
      </w:pPr>
      <w:r>
        <w:rPr>
          <w:b/>
          <w:bCs/>
        </w:rPr>
        <w:t xml:space="preserve">أمين المخزن</w:t>
      </w:r>
      <w:r>
        <w:t xml:space="preserve">: الموظف المسؤول عن إدارة المخزون اليومي داخل المخزن.</w:t>
      </w:r>
    </w:p>
    <w:p>
      <w:pPr>
        <w:pStyle w:val="Compact"/>
        <w:numPr>
          <w:ilvl w:val="0"/>
          <w:numId w:val="1001"/>
        </w:numPr>
      </w:pPr>
      <w:r>
        <w:rPr>
          <w:b/>
          <w:bCs/>
        </w:rPr>
        <w:t xml:space="preserve">دفعة (Batch)</w:t>
      </w:r>
      <w:r>
        <w:t xml:space="preserve">: كمية محددة من المنتج أو المادة الخام يتم إنتاجها أو توريدها في ظروف متجانسة ويمكن تتبعها كوحدة واحدة.</w:t>
      </w:r>
    </w:p>
    <w:p>
      <w:pPr>
        <w:pStyle w:val="Compact"/>
        <w:numPr>
          <w:ilvl w:val="0"/>
          <w:numId w:val="1001"/>
        </w:numPr>
      </w:pPr>
      <w:r>
        <w:rPr>
          <w:b/>
          <w:bCs/>
        </w:rPr>
        <w:t xml:space="preserve">FIFO (First-In, First-Out)</w:t>
      </w:r>
      <w:r>
        <w:t xml:space="preserve">: الوارد أولاً يُصرف أولاً.</w:t>
      </w:r>
    </w:p>
    <w:p>
      <w:pPr>
        <w:pStyle w:val="Compact"/>
        <w:numPr>
          <w:ilvl w:val="0"/>
          <w:numId w:val="1001"/>
        </w:numPr>
      </w:pPr>
      <w:r>
        <w:rPr>
          <w:b/>
          <w:bCs/>
        </w:rPr>
        <w:t xml:space="preserve">FEFO (First-Expired, First-Out)</w:t>
      </w:r>
      <w:r>
        <w:t xml:space="preserve">: الأسبق في تاريخ الانتهاء يُصرف أولاً.</w:t>
      </w:r>
    </w:p>
    <w:p>
      <w:pPr>
        <w:pStyle w:val="Compact"/>
        <w:numPr>
          <w:ilvl w:val="0"/>
          <w:numId w:val="1001"/>
        </w:numPr>
      </w:pPr>
      <w:r>
        <w:rPr>
          <w:b/>
          <w:bCs/>
        </w:rPr>
        <w:t xml:space="preserve">منتج غير مطابق</w:t>
      </w:r>
      <w:r>
        <w:t xml:space="preserve">: أي مادة أو منتج لا يفي بالمتطلبات المحددة.</w:t>
      </w:r>
    </w:p>
    <w:p>
      <w:pPr>
        <w:pStyle w:val="Compact"/>
        <w:numPr>
          <w:ilvl w:val="0"/>
          <w:numId w:val="1001"/>
        </w:numPr>
      </w:pPr>
      <w:r>
        <w:rPr>
          <w:b/>
          <w:bCs/>
        </w:rPr>
        <w:t xml:space="preserve">عزل (Segregation)</w:t>
      </w:r>
      <w:r>
        <w:t xml:space="preserve">: الفصل الفيزيائي للمواد لمنع الاختلاط أو التلوث المتبادل.</w:t>
      </w:r>
    </w:p>
    <w:p>
      <w:pPr>
        <w:pStyle w:val="Compact"/>
        <w:numPr>
          <w:ilvl w:val="0"/>
          <w:numId w:val="1001"/>
        </w:numPr>
      </w:pPr>
      <w:r>
        <w:rPr>
          <w:b/>
          <w:bCs/>
        </w:rPr>
        <w:t xml:space="preserve">تتبع (Traceability)</w:t>
      </w:r>
      <w:r>
        <w:t xml:space="preserve">: القدرة على تتبع مسار المادة أو المنتج خلال جميع مراحل السلسلة الغذائية.</w:t>
      </w:r>
    </w:p>
    <w:p>
      <w:pPr>
        <w:pStyle w:val="Compact"/>
        <w:numPr>
          <w:ilvl w:val="0"/>
          <w:numId w:val="1001"/>
        </w:numPr>
      </w:pPr>
      <w:r>
        <w:rPr>
          <w:b/>
          <w:bCs/>
        </w:rPr>
        <w:t xml:space="preserve">نقطة التحكم الحرجة (CCP)</w:t>
      </w:r>
      <w:r>
        <w:t xml:space="preserve">: خطوة يمكن عندها التحكم في عامل خطر ذي دلالة لسلامة الغذاء ومنعه أو إزالته أو تخفيضه إلى مستوى مقبول.</w:t>
      </w:r>
    </w:p>
    <w:p>
      <w:pPr>
        <w:pStyle w:val="Compact"/>
        <w:numPr>
          <w:ilvl w:val="0"/>
          <w:numId w:val="1001"/>
        </w:numPr>
      </w:pPr>
      <w:r>
        <w:rPr>
          <w:b/>
          <w:bCs/>
        </w:rPr>
        <w:t xml:space="preserve">مباني المنشأة (Premises)</w:t>
      </w:r>
      <w:r>
        <w:t xml:space="preserve">: جميع المباني والمنشآت التي تستخدمها الشركة، بما في ذلك المخازن ومناطق الإنتاج.</w:t>
      </w:r>
    </w:p>
    <w:p>
      <w:pPr>
        <w:pStyle w:val="Compact"/>
        <w:numPr>
          <w:ilvl w:val="0"/>
          <w:numId w:val="1001"/>
        </w:numPr>
      </w:pPr>
      <w:r>
        <w:rPr>
          <w:b/>
          <w:bCs/>
        </w:rPr>
        <w:t xml:space="preserve">NFSA</w:t>
      </w:r>
      <w:r>
        <w:t xml:space="preserve">: الهيئة القومية لسلامة الغذاء المصرية.</w:t>
      </w:r>
    </w:p>
    <w:bookmarkEnd w:id="14"/>
    <w:bookmarkStart w:id="15" w:name="المراجع-references"/>
    <w:p>
      <w:pPr>
        <w:pStyle w:val="Heading3"/>
      </w:pPr>
      <w:r>
        <w:t xml:space="preserve">4. المراجع (References)</w:t>
      </w:r>
    </w:p>
    <w:p>
      <w:pPr>
        <w:pStyle w:val="Compact"/>
        <w:numPr>
          <w:ilvl w:val="0"/>
          <w:numId w:val="1002"/>
        </w:numPr>
      </w:pPr>
      <w:r>
        <w:t xml:space="preserve">ISO 22000:2018 §7.1.4 (نظام التتبع)، §7.4 (التحكم في العمليات والمنتجات المشتراة)، §7.5 (المعلومات الموثقة)، §7.10 (التحكم في حالات عدم المطابقة والمنتجات غير المطابقة)، §8.5.2 (التتبع).</w:t>
      </w:r>
    </w:p>
    <w:p>
      <w:pPr>
        <w:pStyle w:val="Compact"/>
        <w:numPr>
          <w:ilvl w:val="0"/>
          <w:numId w:val="1002"/>
        </w:numPr>
      </w:pPr>
      <w:r>
        <w:t xml:space="preserve">ISO 9001:2015 §7.5 (معلومات موثقة)، §8.4 (التحكم في العمليات والمنتجات والخدمات المقدمة خارجياً)، §8.5 (الإنتاج وتقديم الخدمات).</w:t>
      </w:r>
    </w:p>
    <w:p>
      <w:pPr>
        <w:pStyle w:val="Compact"/>
        <w:numPr>
          <w:ilvl w:val="0"/>
          <w:numId w:val="1002"/>
        </w:numPr>
      </w:pPr>
      <w:r>
        <w:t xml:space="preserve">FSSC 22000 v6 ISO/TS 22002-1:2009 §4 (تصميم المباني والتخطيط)، §11 (التنظيف والصرف الصحي)، §12 (مكافحة الآفات)، §13 (التخزين)، §16 (النقل).</w:t>
      </w:r>
    </w:p>
    <w:p>
      <w:pPr>
        <w:pStyle w:val="Compact"/>
        <w:numPr>
          <w:ilvl w:val="0"/>
          <w:numId w:val="1002"/>
        </w:numPr>
      </w:pPr>
      <w:r>
        <w:t xml:space="preserve">Codex Alimentarius CAC/RCP 1-1969 (HACCP): المبادئ العامة للنظافة الغذائية.</w:t>
      </w:r>
    </w:p>
    <w:p>
      <w:pPr>
        <w:pStyle w:val="Compact"/>
        <w:numPr>
          <w:ilvl w:val="0"/>
          <w:numId w:val="1002"/>
        </w:numPr>
      </w:pPr>
      <w:r>
        <w:t xml:space="preserve">المواصفة القياسية المصرية ES 1589/2007 (مياه الشرب المعبأة) - متطلبات التخزين والنقل.</w:t>
      </w:r>
    </w:p>
    <w:p>
      <w:pPr>
        <w:pStyle w:val="Compact"/>
        <w:numPr>
          <w:ilvl w:val="0"/>
          <w:numId w:val="1002"/>
        </w:numPr>
      </w:pPr>
      <w:r>
        <w:t xml:space="preserve">المواصفة القياسية المصرية ES 190 (مياه معدنية طبيعية) - متطلبات التخزين والنقل.</w:t>
      </w:r>
    </w:p>
    <w:p>
      <w:pPr>
        <w:pStyle w:val="Compact"/>
        <w:numPr>
          <w:ilvl w:val="0"/>
          <w:numId w:val="1002"/>
        </w:numPr>
      </w:pPr>
      <w:r>
        <w:t xml:space="preserve">لائحة الهيئة القومية لسلامة الغذاء NFSA (قرار 6/2023 وتعديلاته) - المواد 12، 13، 14، 15، 23، 24.</w:t>
      </w:r>
    </w:p>
    <w:p>
      <w:pPr>
        <w:pStyle w:val="Compact"/>
        <w:numPr>
          <w:ilvl w:val="0"/>
          <w:numId w:val="1002"/>
        </w:numPr>
      </w:pPr>
      <w:r>
        <w:t xml:space="preserve">قرار وزير الصحة 458/2007 ولوائحه التنفيذية - متطلبات الترخيص وشروط التخزين للمواد الغذائية.</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الدور</w:t>
            </w:r>
          </w:p>
        </w:tc>
        <w:tc>
          <w:tcPr/>
          <w:p>
            <w:pPr>
              <w:pStyle w:val="Compact"/>
            </w:pPr>
            <w:r>
              <w:t xml:space="preserve">المسؤولية الرئيسية</w:t>
            </w:r>
          </w:p>
        </w:tc>
        <w:tc>
          <w:tcPr/>
          <w:p>
            <w:pPr>
              <w:pStyle w:val="Compact"/>
            </w:pPr>
            <w:r>
              <w:t xml:space="preserve">الصلاحية</w:t>
            </w:r>
          </w:p>
        </w:tc>
      </w:tr>
      <w:tr>
        <w:tc>
          <w:tcPr/>
          <w:p>
            <w:pPr>
              <w:pStyle w:val="Compact"/>
            </w:pPr>
            <w:r>
              <w:rPr>
                <w:b/>
                <w:bCs/>
              </w:rPr>
              <w:t xml:space="preserve">مدير توكيد الجودة</w:t>
            </w:r>
          </w:p>
        </w:tc>
        <w:tc>
          <w:tcPr/>
          <w:p>
            <w:pPr>
              <w:pStyle w:val="Compact"/>
            </w:pPr>
            <w:r>
              <w:t xml:space="preserve">الإشراف على صلاحية جميع المواد الواردة وصرفها، مراجعة واعتماد إجراءات التخزين، الإشراف على برامج النظافة ومكافحة الآفات.</w:t>
            </w:r>
          </w:p>
        </w:tc>
        <w:tc>
          <w:tcPr/>
          <w:p>
            <w:pPr>
              <w:pStyle w:val="Compact"/>
            </w:pPr>
            <w:r>
              <w:t xml:space="preserve">اعتماد المواصفات الفنية للمواد، وقف استلام أو صرف أي مواد غير مطابقة.</w:t>
            </w:r>
          </w:p>
        </w:tc>
      </w:tr>
      <w:tr>
        <w:tc>
          <w:tcPr/>
          <w:p>
            <w:pPr>
              <w:pStyle w:val="Compact"/>
            </w:pPr>
            <w:r>
              <w:rPr>
                <w:b/>
                <w:bCs/>
              </w:rPr>
              <w:t xml:space="preserve">المدير العام</w:t>
            </w:r>
          </w:p>
        </w:tc>
        <w:tc>
          <w:tcPr/>
          <w:p>
            <w:pPr>
              <w:pStyle w:val="Compact"/>
            </w:pPr>
            <w:r>
              <w:t xml:space="preserve">توفير الموارد اللازمة لتطبيق متطلبات التخزين والتأكد من مطابقة المخازن للمعايير.</w:t>
            </w:r>
          </w:p>
        </w:tc>
        <w:tc>
          <w:tcPr/>
          <w:p>
            <w:pPr>
              <w:pStyle w:val="Compact"/>
            </w:pPr>
            <w:r>
              <w:t xml:space="preserve">-</w:t>
            </w:r>
          </w:p>
        </w:tc>
      </w:tr>
      <w:tr>
        <w:tc>
          <w:tcPr/>
          <w:p>
            <w:pPr>
              <w:pStyle w:val="Compact"/>
            </w:pPr>
            <w:r>
              <w:rPr>
                <w:b/>
                <w:bCs/>
              </w:rPr>
              <w:t xml:space="preserve">رئيس مجلس الإدارة</w:t>
            </w:r>
          </w:p>
        </w:tc>
        <w:tc>
          <w:tcPr/>
          <w:p>
            <w:pPr>
              <w:pStyle w:val="Compact"/>
            </w:pPr>
            <w:r>
              <w:t xml:space="preserve">الاعتماد النهائي للسياسات والإجراءات المتعلقة بإدارة المخازن والجودة.</w:t>
            </w:r>
          </w:p>
        </w:tc>
        <w:tc>
          <w:tcPr/>
          <w:p>
            <w:pPr>
              <w:pStyle w:val="Compact"/>
            </w:pPr>
            <w:r>
              <w:t xml:space="preserve">-</w:t>
            </w:r>
          </w:p>
        </w:tc>
      </w:tr>
      <w:tr>
        <w:tc>
          <w:tcPr/>
          <w:p>
            <w:pPr>
              <w:pStyle w:val="Compact"/>
            </w:pPr>
            <w:r>
              <w:rPr>
                <w:b/>
                <w:bCs/>
              </w:rPr>
              <w:t xml:space="preserve">مدير المخازن</w:t>
            </w:r>
          </w:p>
        </w:tc>
        <w:tc>
          <w:tcPr/>
          <w:p>
            <w:pPr>
              <w:pStyle w:val="Compact"/>
            </w:pPr>
            <w:r>
              <w:t xml:space="preserve">الإشراف العام على جميع أنشطة المخازن، ضمان تطبيق الإجراءات الصحيحة، الإشراف على أمناء المخازن.</w:t>
            </w:r>
          </w:p>
        </w:tc>
        <w:tc>
          <w:tcPr/>
          <w:p>
            <w:pPr>
              <w:pStyle w:val="Compact"/>
            </w:pPr>
            <w:r>
              <w:t xml:space="preserve">اعتماد طلبات الصرف والإضافة، اتخاذ قرارات بشأن التخزين الأمثل.</w:t>
            </w:r>
          </w:p>
        </w:tc>
      </w:tr>
      <w:tr>
        <w:tc>
          <w:tcPr/>
          <w:p>
            <w:pPr>
              <w:pStyle w:val="Compact"/>
            </w:pPr>
            <w:r>
              <w:rPr>
                <w:b/>
                <w:bCs/>
              </w:rPr>
              <w:t xml:space="preserve">مسؤول المشتريات</w:t>
            </w:r>
          </w:p>
        </w:tc>
        <w:tc>
          <w:tcPr/>
          <w:p>
            <w:pPr>
              <w:pStyle w:val="Compact"/>
            </w:pPr>
            <w:r>
              <w:t xml:space="preserve">إصدار أوامر التوريد بناءً على طلبات الأقسام، متابعة الموردين.</w:t>
            </w:r>
          </w:p>
        </w:tc>
        <w:tc>
          <w:tcPr/>
          <w:p>
            <w:pPr>
              <w:pStyle w:val="Compact"/>
            </w:pPr>
            <w:r>
              <w:t xml:space="preserve">-</w:t>
            </w:r>
          </w:p>
        </w:tc>
      </w:tr>
      <w:tr>
        <w:tc>
          <w:tcPr/>
          <w:p>
            <w:pPr>
              <w:pStyle w:val="Compact"/>
            </w:pPr>
            <w:r>
              <w:rPr>
                <w:b/>
                <w:bCs/>
              </w:rPr>
              <w:t xml:space="preserve">أمين المخزن</w:t>
            </w:r>
          </w:p>
        </w:tc>
        <w:tc>
          <w:tcPr/>
          <w:p>
            <w:pPr>
              <w:pStyle w:val="Compact"/>
            </w:pPr>
            <w:r>
              <w:t xml:space="preserve">استلام وفحص المواد الواردة، تنظيم وتصنيف وتخزين المواد، صرف المواد بناءً على طلبات الصرف، تحديث سجلات المخزون.</w:t>
            </w:r>
          </w:p>
        </w:tc>
        <w:tc>
          <w:tcPr/>
          <w:p>
            <w:pPr>
              <w:pStyle w:val="Compact"/>
            </w:pPr>
            <w:r>
              <w:t xml:space="preserve">رفض استلام المواد غير المطابقة، الإبلاغ عن أي مشاكل تخزين.</w:t>
            </w:r>
          </w:p>
        </w:tc>
      </w:tr>
      <w:tr>
        <w:tc>
          <w:tcPr/>
          <w:p>
            <w:pPr>
              <w:pStyle w:val="Compact"/>
            </w:pPr>
            <w:r>
              <w:rPr>
                <w:b/>
                <w:bCs/>
              </w:rPr>
              <w:t xml:space="preserve">قسم الإنتاج</w:t>
            </w:r>
          </w:p>
        </w:tc>
        <w:tc>
          <w:tcPr/>
          <w:p>
            <w:pPr>
              <w:pStyle w:val="Compact"/>
            </w:pPr>
            <w:r>
              <w:t xml:space="preserve">تزويد المخازن بالمنتج النهائي وفقاً لتعليمات التخزين، فحص المواد الخام المستلمة بالتنسيق مع الجودة.</w:t>
            </w:r>
          </w:p>
        </w:tc>
        <w:tc>
          <w:tcPr/>
          <w:p>
            <w:pPr>
              <w:pStyle w:val="Compact"/>
            </w:pPr>
            <w:r>
              <w:t xml:space="preserve">طلب المواد الخام ومواد التعبئة.</w:t>
            </w:r>
          </w:p>
        </w:tc>
      </w:tr>
      <w:tr>
        <w:tc>
          <w:tcPr/>
          <w:p>
            <w:pPr>
              <w:pStyle w:val="Compact"/>
            </w:pPr>
            <w:r>
              <w:rPr>
                <w:b/>
                <w:bCs/>
              </w:rPr>
              <w:t xml:space="preserve">قسم الصيانة</w:t>
            </w:r>
          </w:p>
        </w:tc>
        <w:tc>
          <w:tcPr/>
          <w:p>
            <w:pPr>
              <w:pStyle w:val="Compact"/>
            </w:pPr>
            <w:r>
              <w:t xml:space="preserve">الحفاظ على البنية التحتية للمخازن، تنفيذ برامج الصيانة الوقائية والإصلاحية.</w:t>
            </w:r>
          </w:p>
        </w:tc>
        <w:tc>
          <w:tcPr/>
          <w:p>
            <w:pPr>
              <w:pStyle w:val="Compact"/>
            </w:pPr>
            <w:r>
              <w:t xml:space="preserve">-</w:t>
            </w:r>
          </w:p>
        </w:tc>
      </w:tr>
      <w:tr>
        <w:tc>
          <w:tcPr/>
          <w:p>
            <w:pPr>
              <w:pStyle w:val="Compact"/>
            </w:pPr>
            <w:r>
              <w:rPr>
                <w:b/>
                <w:bCs/>
              </w:rPr>
              <w:t xml:space="preserve">مسؤول مكافحة الآفات</w:t>
            </w:r>
          </w:p>
        </w:tc>
        <w:tc>
          <w:tcPr/>
          <w:p>
            <w:pPr>
              <w:pStyle w:val="Compact"/>
            </w:pPr>
            <w:r>
              <w:t xml:space="preserve">تنفيذ ومتابعة برنامج مكافحة الآفات داخل وحول المخازن.</w:t>
            </w:r>
          </w:p>
        </w:tc>
        <w:tc>
          <w:tcPr/>
          <w:p>
            <w:pPr>
              <w:pStyle w:val="Compact"/>
            </w:pPr>
            <w:r>
              <w:t xml:space="preserve">-</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متطلبات البنية التحتية وتصميم المخازن (ISO/TS 22002-1 §4 و §13.2)</w:t>
      </w:r>
      <w:r>
        <w:t xml:space="preserve"> </w:t>
      </w:r>
      <w:r>
        <w:t xml:space="preserve">6-1-1 يجب أن تكون جميع المخازن مصممة ومبنية بمواد غير مسامية وسهلة التنظيف والتطهير، ومقاومة لدخول الآفات (الفئران، الحشرات).</w:t>
      </w:r>
      <w:r>
        <w:t xml:space="preserve"> </w:t>
      </w:r>
      <w:r>
        <w:t xml:space="preserve">6-1-2 توفر تهوية وإضاءة كافية داخل المخازن، مع التحكم في درجة الحرارة والرطوبة للحفاظ على صلاحية وسلامة المنتجات المخزنة، وفقاً لـ ES 1589/2007 و ES 190.</w:t>
      </w:r>
      <w:r>
        <w:t xml:space="preserve"> </w:t>
      </w:r>
      <w:r>
        <w:t xml:space="preserve">6-1-3 تزويد المخازن بلوحات عرض لدرجة الحرارة والرطوبة (حسب الحاجة) يتم مراقبتها وتسجيلها يومياً.</w:t>
      </w:r>
      <w:r>
        <w:t xml:space="preserve"> </w:t>
      </w:r>
      <w:r>
        <w:t xml:space="preserve">6-1-4 يجب فصل مناطق التخزين المخصصة للمواد الخام ومواد التعبئة والتغليف، والمواد الكيميائية، ومواد التنظيف، وقطع الغيار، والمنتج النهائي لمنع التلوث المتبادل.</w:t>
      </w:r>
      <w:r>
        <w:t xml:space="preserve"> </w:t>
      </w:r>
      <w:r>
        <w:t xml:space="preserve">6-1-5 يجب أن تكون أرضيات المخازن مستوية، غير قابلة للانزلاق، ومن مادة صلبة مقاومة للتآكل وسهلة التنظيف.</w:t>
      </w:r>
    </w:p>
    <w:p>
      <w:pPr>
        <w:pStyle w:val="BodyText"/>
      </w:pPr>
      <w:r>
        <w:rPr>
          <w:b/>
          <w:bCs/>
        </w:rPr>
        <w:t xml:space="preserve">6-2 النظافة والصرف الصحي ومكافحة الآفات في المخازن (ISO/TS 22002-1 §11 و §12, NFSA قرار 6/2023 المادة 13)</w:t>
      </w:r>
      <w:r>
        <w:t xml:space="preserve"> </w:t>
      </w:r>
      <w:r>
        <w:t xml:space="preserve">6-2-1 يتم وضع وتنفيذ برنامج تنظيف وتطهير دوري للمخازن (جدران، أرضيات، أسقف، أرفف) وفقاً لإجراء</w:t>
      </w:r>
      <w:r>
        <w:t xml:space="preserve"> </w:t>
      </w:r>
      <w:r>
        <w:t xml:space="preserve">“برنامج التنظيف والتطهير”</w:t>
      </w:r>
      <w:r>
        <w:t xml:space="preserve"> </w:t>
      </w:r>
      <w:r>
        <w:t xml:space="preserve">(الإجراء رقم FSP-XX).</w:t>
      </w:r>
      <w:r>
        <w:t xml:space="preserve"> </w:t>
      </w:r>
      <w:r>
        <w:t xml:space="preserve">6-2-2 يجب أن تكون مخازن المواد الغذائية (المياه، المواد المضافة) نظيفة، خالية من الغبار، ومصانة جيداً.</w:t>
      </w:r>
      <w:r>
        <w:t xml:space="preserve"> </w:t>
      </w:r>
      <w:r>
        <w:t xml:space="preserve">6-2-3 يتم تنفيذ برنامج مكافحة الآفات الشامل في جميع المخازن والمناطق المحيطة بها بواسطة فريق داخلي أو شركة متخصصة، وذلك وفقاً لإجراء</w:t>
      </w:r>
      <w:r>
        <w:t xml:space="preserve"> </w:t>
      </w:r>
      <w:r>
        <w:t xml:space="preserve">“مكافحة الآفات”</w:t>
      </w:r>
      <w:r>
        <w:t xml:space="preserve"> </w:t>
      </w:r>
      <w:r>
        <w:t xml:space="preserve">(الإجراء رقم FSP-YY)، مع الاحتفاظ بسجلات المتابعة.</w:t>
      </w:r>
      <w:r>
        <w:t xml:space="preserve"> </w:t>
      </w:r>
      <w:r>
        <w:t xml:space="preserve">6-2-4 يتم تفتيش المخازن بانتظام للتأكد من خلوها من أي علامات للآفات، ويتم اتخاذ الإجراءات التصحيحية اللازمة فوراً.</w:t>
      </w:r>
    </w:p>
    <w:p>
      <w:pPr>
        <w:pStyle w:val="BodyText"/>
      </w:pPr>
      <w:r>
        <w:rPr>
          <w:b/>
          <w:bCs/>
        </w:rPr>
        <w:t xml:space="preserve">6-3 طلب الشراء ومراجعة المخزون (ISO 9001:2015 §8.4.1)</w:t>
      </w:r>
      <w:r>
        <w:t xml:space="preserve"> </w:t>
      </w:r>
      <w:r>
        <w:t xml:space="preserve">6-3-1 قبل عمل طلب الشراء، يقوم أمين المخزن بمراجعة رصيد المخازن الفعلية والإلكترونية (برنامج مراقبة المخزون) لتحديد الاحتياجات.</w:t>
      </w:r>
      <w:r>
        <w:t xml:space="preserve"> </w:t>
      </w:r>
      <w:r>
        <w:t xml:space="preserve">6-3-2 يتم إصدار طلب شراء من الإدارة الطالبة بعد توقيع مدير الإدارة المعنية وأمين المخزن المسؤول، مع تحديد الكمية والمواصفات المطلوبة.</w:t>
      </w:r>
    </w:p>
    <w:p>
      <w:pPr>
        <w:pStyle w:val="BodyText"/>
      </w:pPr>
      <w:r>
        <w:rPr>
          <w:b/>
          <w:bCs/>
        </w:rPr>
        <w:t xml:space="preserve">6-4 استلام وفحص المواد الواردة (ISO 22000:2018 §7.4.2)</w:t>
      </w:r>
      <w:r>
        <w:t xml:space="preserve"> </w:t>
      </w:r>
      <w:r>
        <w:t xml:space="preserve">6-4-1 عند توريد البضاعة، يقوم أمين المخزن بالتحقق من:</w:t>
      </w:r>
      <w:r>
        <w:t xml:space="preserve"> </w:t>
      </w:r>
      <w:r>
        <w:t xml:space="preserve">أ. مطابقة الكميات الموردة لإذن تسليم المورد وأمر التوريد أو طلب الشراء.</w:t>
      </w:r>
      <w:r>
        <w:t xml:space="preserve"> </w:t>
      </w:r>
      <w:r>
        <w:t xml:space="preserve">ب. خلو التعبئة والتغليف من أي تلف ظاهر أو علامات تلوث.</w:t>
      </w:r>
      <w:r>
        <w:t xml:space="preserve"> </w:t>
      </w:r>
      <w:r>
        <w:t xml:space="preserve">ج. صلاحية تاريخ الإنتاج وتاريخ الانتهاء للمواد الهامة لسلامة الغذاء (المياه، المواد المضافة).</w:t>
      </w:r>
      <w:r>
        <w:t xml:space="preserve"> </w:t>
      </w:r>
      <w:r>
        <w:t xml:space="preserve">د. وجود شهادات مطابقة أو تحليل (Certificate of Analysis) للمواد الخام الحساسة حسب المتفق عليه مع المورد.</w:t>
      </w:r>
      <w:r>
        <w:t xml:space="preserve"> </w:t>
      </w:r>
      <w:r>
        <w:t xml:space="preserve">6-4-2 يتم إبلاغ مسؤول الجودة والقسم الطالب لإجراء الفحص الفني للمواد الواردة. تشكل لجنة فحص مكونة من ممثل عن قسم الجودة وآخر عن قسم الإنتاج للتحقق من المواصفات الفنية والجودة للمواد.</w:t>
      </w:r>
      <w:r>
        <w:t xml:space="preserve"> </w:t>
      </w:r>
      <w:r>
        <w:t xml:space="preserve">6-4-3 يتم تسجيل حالة الفحص (مقبول، مرفوض، تحت الفحص) على</w:t>
      </w:r>
      <w:r>
        <w:t xml:space="preserve"> </w:t>
      </w:r>
      <w:r>
        <w:t xml:space="preserve">“محضر الفحص والاستلام”</w:t>
      </w:r>
      <w:r>
        <w:t xml:space="preserve"> </w:t>
      </w:r>
      <w:r>
        <w:t xml:space="preserve">(F-21-XX).</w:t>
      </w:r>
      <w:r>
        <w:t xml:space="preserve"> </w:t>
      </w:r>
      <w:r>
        <w:t xml:space="preserve">6-4-4 في حالة قبول المشتريات، يقوم أمين المخزن بإصدار</w:t>
      </w:r>
      <w:r>
        <w:t xml:space="preserve"> </w:t>
      </w:r>
      <w:r>
        <w:t xml:space="preserve">“إذن إضافة”</w:t>
      </w:r>
      <w:r>
        <w:t xml:space="preserve"> </w:t>
      </w:r>
      <w:r>
        <w:t xml:space="preserve">(F-21-02/F-21-05)، وتسجيل البيانات (رقم الدفعة، تاريخ الإنتاج، تاريخ الانتهاء، الكمية) في كارتة الصنف الورقية وعلى برنامج مراقبة المخزون.</w:t>
      </w:r>
      <w:r>
        <w:t xml:space="preserve"> </w:t>
      </w:r>
      <w:r>
        <w:t xml:space="preserve">6-4-5 في حالة رفض المشتريات بسبب عدم المطابقة للمواصفات أو التلف، يقوم أمين المخزن بعدم الاستلام ويتم تسجيل ذلك في</w:t>
      </w:r>
      <w:r>
        <w:t xml:space="preserve"> </w:t>
      </w:r>
      <w:r>
        <w:t xml:space="preserve">“محضر الفحص والاستلام”</w:t>
      </w:r>
      <w:r>
        <w:t xml:space="preserve"> </w:t>
      </w:r>
      <w:r>
        <w:t xml:space="preserve">(F-21-XX) وإبلاغ المورد ومسؤول المشتريات. يتم إصدار</w:t>
      </w:r>
      <w:r>
        <w:t xml:space="preserve"> </w:t>
      </w:r>
      <w:r>
        <w:t xml:space="preserve">“نموذج عدم مطابقة المورد”</w:t>
      </w:r>
      <w:r>
        <w:t xml:space="preserve"> </w:t>
      </w:r>
      <w:r>
        <w:t xml:space="preserve">(F-QA-0X).</w:t>
      </w:r>
      <w:r>
        <w:t xml:space="preserve"> </w:t>
      </w:r>
      <w:r>
        <w:t xml:space="preserve">6-4-6 في حالة اكتشاف عيب فني في البضاعة بعد الاستلام وقبولها مبدئياً، يتم عمل</w:t>
      </w:r>
      <w:r>
        <w:t xml:space="preserve"> </w:t>
      </w:r>
      <w:r>
        <w:t xml:space="preserve">“إذن مرتجع إضافة للمورد”</w:t>
      </w:r>
      <w:r>
        <w:t xml:space="preserve"> </w:t>
      </w:r>
      <w:r>
        <w:t xml:space="preserve">(F-21-04) بعد موافقة مدير الجودة والمدير العام، ويتم تسجيل ذلك على برنامج مراقبة المخزون.</w:t>
      </w:r>
    </w:p>
    <w:p>
      <w:pPr>
        <w:pStyle w:val="BodyText"/>
      </w:pPr>
      <w:r>
        <w:rPr>
          <w:b/>
          <w:bCs/>
        </w:rPr>
        <w:t xml:space="preserve">6-5 التمييز والتتبع والتخزين (ISO 22000:2018 §7.1.4, §7.4.3, §8.5.2)</w:t>
      </w:r>
      <w:r>
        <w:t xml:space="preserve"> </w:t>
      </w:r>
      <w:r>
        <w:t xml:space="preserve">6-5-1 يتم تمييز جميع المواد المخزنة على الأرفف أو الباليتات بـ</w:t>
      </w:r>
      <w:r>
        <w:t xml:space="preserve"> </w:t>
      </w:r>
      <w:r>
        <w:t xml:space="preserve">“بطاقة تمييز المخزون”</w:t>
      </w:r>
      <w:r>
        <w:t xml:space="preserve"> </w:t>
      </w:r>
      <w:r>
        <w:t xml:space="preserve">(F-21-XX) توضح: اسم الصنف، كود الصنف، رقم الدفعة (Lot Number)، تاريخ الإنتاج، تاريخ الانتهاء، الكمية، حالة الصنف (مقبول، مرفوض، معلق، تحت الفحص).</w:t>
      </w:r>
      <w:r>
        <w:t xml:space="preserve"> </w:t>
      </w:r>
      <w:r>
        <w:t xml:space="preserve">6-5-2 يتم تحديد مواقع تخزين لكل صنف لضمان سهولة الوصول، والتعرف، وتطبيق مبدأ FIFO/FEFO.</w:t>
      </w:r>
      <w:r>
        <w:t xml:space="preserve"> </w:t>
      </w:r>
      <w:r>
        <w:t xml:space="preserve">6-5-3 يتم تخزين المواد على باليتات نظيفة ومرتفعة عن الأرض بمسافة كافية (لا تقل عن 15 سم وفقاً لـ NFSA قرار 6/2023 المادة 15).</w:t>
      </w:r>
      <w:r>
        <w:t xml:space="preserve"> </w:t>
      </w:r>
      <w:r>
        <w:t xml:space="preserve">6-5-4 يجب عزل المواد غير المطابقة والمرفوضة في منطقة تخزين محددة بوضوح، مميزة بـ</w:t>
      </w:r>
      <w:r>
        <w:t xml:space="preserve"> </w:t>
      </w:r>
      <w:r>
        <w:t xml:space="preserve">“بطاقة عزل”</w:t>
      </w:r>
      <w:r>
        <w:t xml:space="preserve"> </w:t>
      </w:r>
      <w:r>
        <w:t xml:space="preserve">(F-21-YY) تحمل تاريخ العزل وسبب عدم المطابقة، لمنع استخدامها بالخطأ (ISO 22000:2018 §7.10.1).</w:t>
      </w:r>
      <w:r>
        <w:t xml:space="preserve"> </w:t>
      </w:r>
      <w:r>
        <w:t xml:space="preserve">6-5-5 يجب تخزين المواد الكيميائية (مواد التنظيف، زيوت التشحيم) في منطقة منفصلة ومحكمة الغلق لمنع تلوث المواد الغذائية، مع وجود صحائف بيانات السلامة (MSDS) لكل مادة.</w:t>
      </w:r>
      <w:r>
        <w:t xml:space="preserve"> </w:t>
      </w:r>
      <w:r>
        <w:t xml:space="preserve">6-5-6 يطبق مبدأ FIFO في صرف جميع المواد، وفي حالة وجود تواريخ انتهاء صلاحية يجب تطبيق مبدأ FEFO لضمان صرف الأقدم تاريخ انتهاء أولاً.</w:t>
      </w:r>
    </w:p>
    <w:p>
      <w:pPr>
        <w:pStyle w:val="BodyText"/>
      </w:pPr>
      <w:r>
        <w:rPr>
          <w:b/>
          <w:bCs/>
        </w:rPr>
        <w:t xml:space="preserve">6-6 صرف المواد من المخازن (ISO 9001:2015 §8.5.2)</w:t>
      </w:r>
      <w:r>
        <w:t xml:space="preserve"> </w:t>
      </w:r>
      <w:r>
        <w:t xml:space="preserve">6-6-1 تصرف المواد بناءً على</w:t>
      </w:r>
      <w:r>
        <w:t xml:space="preserve"> </w:t>
      </w:r>
      <w:r>
        <w:t xml:space="preserve">“طلب صرف”</w:t>
      </w:r>
      <w:r>
        <w:t xml:space="preserve"> </w:t>
      </w:r>
      <w:r>
        <w:t xml:space="preserve">(F-21-06) معتمد من الإدارة الطالبة ومدير المخازن.</w:t>
      </w:r>
      <w:r>
        <w:t xml:space="preserve"> </w:t>
      </w:r>
      <w:r>
        <w:t xml:space="preserve">6-6-2 يقوم أمين المخزن بصرف الأصناف المطلوبة بعد التحقق من مطابقتها للطلب وتطبيق مبدأ FIFO/FEFO.</w:t>
      </w:r>
      <w:r>
        <w:t xml:space="preserve"> </w:t>
      </w:r>
      <w:r>
        <w:t xml:space="preserve">6-6-3 بعد الصرف، يقوم أمين المخزن بإصدار</w:t>
      </w:r>
      <w:r>
        <w:t xml:space="preserve"> </w:t>
      </w:r>
      <w:r>
        <w:t xml:space="preserve">“إذن صرف”</w:t>
      </w:r>
      <w:r>
        <w:t xml:space="preserve"> </w:t>
      </w:r>
      <w:r>
        <w:t xml:space="preserve">(F-21-03) وتسجيل الصرف في كارتة الصنف وعلى برنامج مراقبة المخزون.</w:t>
      </w:r>
      <w:r>
        <w:t xml:space="preserve"> </w:t>
      </w:r>
      <w:r>
        <w:t xml:space="preserve">6-6-4 في حالة إرجاع مواد للمخازن، يتم تحرير</w:t>
      </w:r>
      <w:r>
        <w:t xml:space="preserve"> </w:t>
      </w:r>
      <w:r>
        <w:t xml:space="preserve">“إذن مرتجع صرف”</w:t>
      </w:r>
      <w:r>
        <w:t xml:space="preserve"> </w:t>
      </w:r>
      <w:r>
        <w:t xml:space="preserve">(F-21-13) بعد موافقة الجودة، وتسجيلها في السجلات.</w:t>
      </w:r>
    </w:p>
    <w:p>
      <w:pPr>
        <w:pStyle w:val="BodyText"/>
      </w:pPr>
      <w:r>
        <w:rPr>
          <w:b/>
          <w:bCs/>
        </w:rPr>
        <w:t xml:space="preserve">6-7 المنتج النهائي (ISO/TS 22002-1 §13.2 و §16)</w:t>
      </w:r>
      <w:r>
        <w:t xml:space="preserve"> </w:t>
      </w:r>
      <w:r>
        <w:t xml:space="preserve">6-7-1 يتم استلام المنتج النهائي من قسم الإنتاج بعد فحصه واعتماده من قبل قسم الجودة، ويتم إصدار</w:t>
      </w:r>
      <w:r>
        <w:t xml:space="preserve"> </w:t>
      </w:r>
      <w:r>
        <w:t xml:space="preserve">“إذن إضافة منتج تام”</w:t>
      </w:r>
      <w:r>
        <w:t xml:space="preserve"> </w:t>
      </w:r>
      <w:r>
        <w:t xml:space="preserve">(F-21-05).</w:t>
      </w:r>
      <w:r>
        <w:t xml:space="preserve"> </w:t>
      </w:r>
      <w:r>
        <w:t xml:space="preserve">6-7-2 يتم تخزين المنتج النهائي في مخازن مهيأة بنفس شروط التخزين المطلوبة للمواد الخام (تهوية، درجة حرارة، رطوبة، نظافة) لضمان الحفاظ على جودته وسلامته.</w:t>
      </w:r>
      <w:r>
        <w:t xml:space="preserve"> </w:t>
      </w:r>
      <w:r>
        <w:t xml:space="preserve">6-7-3 يجب أن يكون المنتج النهائي محاطاً بتغليف مناسب يحميه من التلوث والأضرار الميكانيكية أثناء التخزين والنقل.</w:t>
      </w:r>
      <w:r>
        <w:t xml:space="preserve"> </w:t>
      </w:r>
      <w:r>
        <w:t xml:space="preserve">6-7-4 يتم صرف المنتج النهائي بناءً على</w:t>
      </w:r>
      <w:r>
        <w:t xml:space="preserve"> </w:t>
      </w:r>
      <w:r>
        <w:t xml:space="preserve">“طلب صرف منتج تام”</w:t>
      </w:r>
      <w:r>
        <w:t xml:space="preserve"> </w:t>
      </w:r>
      <w:r>
        <w:t xml:space="preserve">(F-21-07)، ويسجل في برنامج المخزون مع تطبيق مبدأ FEFO.</w:t>
      </w:r>
      <w:r>
        <w:t xml:space="preserve"> </w:t>
      </w:r>
      <w:r>
        <w:t xml:space="preserve">6-7-5 عند تحميل المنتج النهائي للنقل، يتم التأكد من نظافة وجفاف وسيلة النقل وخلوها من الروائح الغريبة أو الآفات، ويتم توفير بيئة تحافظ على المنتج (ISO/TS 22002-1 §16).</w:t>
      </w:r>
    </w:p>
    <w:p>
      <w:pPr>
        <w:pStyle w:val="BodyText"/>
      </w:pPr>
      <w:r>
        <w:rPr>
          <w:b/>
          <w:bCs/>
        </w:rPr>
        <w:t xml:space="preserve">6-8 جرد المخزون (ISO 9001:2015 §8.5.2)</w:t>
      </w:r>
      <w:r>
        <w:t xml:space="preserve"> </w:t>
      </w:r>
      <w:r>
        <w:t xml:space="preserve">6-8-1 يتم إجراء جرد دوري (شهري / ربع سنوي) وجرد سنوي لجميع المخازن لضمان مطابقة الأرصدة الفعلية مع السجلات الدفترية والإلكترونية.</w:t>
      </w:r>
      <w:r>
        <w:t xml:space="preserve"> </w:t>
      </w:r>
      <w:r>
        <w:t xml:space="preserve">6-8-2 يتم فتح</w:t>
      </w:r>
      <w:r>
        <w:t xml:space="preserve"> </w:t>
      </w:r>
      <w:r>
        <w:t xml:space="preserve">“محضر جرد”</w:t>
      </w:r>
      <w:r>
        <w:t xml:space="preserve"> </w:t>
      </w:r>
      <w:r>
        <w:t xml:space="preserve">(F-21-ZZ) يسجل فيه الكميات الفعلية وأي فروقات ويتم التحقيق فيها وتوثيق الإجراءات التصحيحية.</w:t>
      </w:r>
    </w:p>
    <w:p>
      <w:pPr>
        <w:pStyle w:val="BodyText"/>
      </w:pPr>
      <w:r>
        <w:rPr>
          <w:b/>
          <w:bCs/>
        </w:rPr>
        <w:t xml:space="preserve">6-9 إدارة السجلات الإلكترونية للمخزون (ISO 22000:2018 §7.5)</w:t>
      </w:r>
      <w:r>
        <w:t xml:space="preserve"> </w:t>
      </w:r>
      <w:r>
        <w:t xml:space="preserve">6-9-1 يتم حفظ البيانات المدخلة في برنامج مراقبة المخزون بشكل آمن، مع إجراء نسخ احتياطي دوري (يومي/أسبوعي) لضمان عدم فقدان البيانات.</w:t>
      </w:r>
      <w:r>
        <w:t xml:space="preserve"> </w:t>
      </w:r>
      <w:r>
        <w:t xml:space="preserve">6-9-2 يجب أن تكون البيانات الإلكترونية قابلة للاسترجاع والوصول إليها بسرعة عند الحاجة.</w:t>
      </w:r>
      <w:r>
        <w:t xml:space="preserve"> </w:t>
      </w:r>
      <w:r>
        <w:t xml:space="preserve">6-9-3 يتم مراجعة دورية لمدى تطابق السجلات الورقية مع الإلكترونية.</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 عن الحيازة</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F-21-01</w:t>
            </w:r>
          </w:p>
        </w:tc>
        <w:tc>
          <w:tcPr/>
          <w:p>
            <w:pPr>
              <w:pStyle w:val="Compact"/>
            </w:pPr>
            <w:r>
              <w:t xml:space="preserve">كارتة الصنف</w:t>
            </w:r>
          </w:p>
        </w:tc>
        <w:tc>
          <w:tcPr/>
          <w:p>
            <w:pPr>
              <w:pStyle w:val="Compact"/>
            </w:pPr>
            <w:r>
              <w:t xml:space="preserve">أمين المخزن</w:t>
            </w:r>
          </w:p>
        </w:tc>
        <w:tc>
          <w:tcPr/>
          <w:p>
            <w:pPr>
              <w:pStyle w:val="Compact"/>
            </w:pPr>
            <w:r>
              <w:t xml:space="preserve">5 سنوات بعد انتهاء صلاحية آخر دفعة</w:t>
            </w:r>
          </w:p>
        </w:tc>
        <w:tc>
          <w:tcPr/>
          <w:p>
            <w:pPr>
              <w:pStyle w:val="Compact"/>
            </w:pPr>
            <w:r>
              <w:t xml:space="preserve">كود الصنف، اسم الصنف، رقم الدفعة، تاريخ الإضافة، تاريخ الصرف، الرصيد، مرجع طلبات الصرف والإضافة.</w:t>
            </w:r>
          </w:p>
        </w:tc>
      </w:tr>
      <w:tr>
        <w:tc>
          <w:tcPr/>
          <w:p>
            <w:pPr>
              <w:pStyle w:val="Compact"/>
            </w:pPr>
            <w:r>
              <w:t xml:space="preserve">F-21-02</w:t>
            </w:r>
          </w:p>
        </w:tc>
        <w:tc>
          <w:tcPr/>
          <w:p>
            <w:pPr>
              <w:pStyle w:val="Compact"/>
            </w:pPr>
            <w:r>
              <w:t xml:space="preserve">إذن إضافة مواد خام ومواد تعبئة وتغليف</w:t>
            </w:r>
          </w:p>
        </w:tc>
        <w:tc>
          <w:tcPr/>
          <w:p>
            <w:pPr>
              <w:pStyle w:val="Compact"/>
            </w:pPr>
            <w:r>
              <w:t xml:space="preserve">أمين المخزن</w:t>
            </w:r>
          </w:p>
        </w:tc>
        <w:tc>
          <w:tcPr/>
          <w:p>
            <w:pPr>
              <w:pStyle w:val="Compact"/>
            </w:pPr>
            <w:r>
              <w:t xml:space="preserve">5 سنوات</w:t>
            </w:r>
          </w:p>
        </w:tc>
        <w:tc>
          <w:tcPr/>
          <w:p>
            <w:pPr>
              <w:pStyle w:val="Compact"/>
            </w:pPr>
            <w:r>
              <w:t xml:space="preserve">كود الصنف، اسم الصنف، الكمية، رقم الدفعة، تاريخ الإنتاج، تاريخ الانتهاء، المورد، رقم امر التوريد، حالة القبول.</w:t>
            </w:r>
          </w:p>
        </w:tc>
      </w:tr>
      <w:tr>
        <w:tc>
          <w:tcPr/>
          <w:p>
            <w:pPr>
              <w:pStyle w:val="Compact"/>
            </w:pPr>
            <w:r>
              <w:t xml:space="preserve">F-21-03</w:t>
            </w:r>
          </w:p>
        </w:tc>
        <w:tc>
          <w:tcPr/>
          <w:p>
            <w:pPr>
              <w:pStyle w:val="Compact"/>
            </w:pPr>
            <w:r>
              <w:t xml:space="preserve">إذن صرف خامات ومواد تعبئة وتغليف إلى الإنتاج</w:t>
            </w:r>
          </w:p>
        </w:tc>
        <w:tc>
          <w:tcPr/>
          <w:p>
            <w:pPr>
              <w:pStyle w:val="Compact"/>
            </w:pPr>
            <w:r>
              <w:t xml:space="preserve">أمين المخزن</w:t>
            </w:r>
          </w:p>
        </w:tc>
        <w:tc>
          <w:tcPr/>
          <w:p>
            <w:pPr>
              <w:pStyle w:val="Compact"/>
            </w:pPr>
            <w:r>
              <w:t xml:space="preserve">5 سنوات</w:t>
            </w:r>
          </w:p>
        </w:tc>
        <w:tc>
          <w:tcPr/>
          <w:p>
            <w:pPr>
              <w:pStyle w:val="Compact"/>
            </w:pPr>
            <w:r>
              <w:t xml:space="preserve">كود الصنف، اسم الصنف، الكمية المصروفة، رقم الدفعة، الجهة المستلمة، التاريخ.</w:t>
            </w:r>
          </w:p>
        </w:tc>
      </w:tr>
      <w:tr>
        <w:tc>
          <w:tcPr/>
          <w:p>
            <w:pPr>
              <w:pStyle w:val="Compact"/>
            </w:pPr>
            <w:r>
              <w:t xml:space="preserve">F-21-04</w:t>
            </w:r>
          </w:p>
        </w:tc>
        <w:tc>
          <w:tcPr/>
          <w:p>
            <w:pPr>
              <w:pStyle w:val="Compact"/>
            </w:pPr>
            <w:r>
              <w:t xml:space="preserve">إذن إرجاع مواد خام ومواد تعبئة وتغليف للمورد</w:t>
            </w:r>
          </w:p>
        </w:tc>
        <w:tc>
          <w:tcPr/>
          <w:p>
            <w:pPr>
              <w:pStyle w:val="Compact"/>
            </w:pPr>
            <w:r>
              <w:t xml:space="preserve">أمين المخزن</w:t>
            </w:r>
          </w:p>
        </w:tc>
        <w:tc>
          <w:tcPr/>
          <w:p>
            <w:pPr>
              <w:pStyle w:val="Compact"/>
            </w:pPr>
            <w:r>
              <w:t xml:space="preserve">5 سنوات</w:t>
            </w:r>
          </w:p>
        </w:tc>
        <w:tc>
          <w:tcPr/>
          <w:p>
            <w:pPr>
              <w:pStyle w:val="Compact"/>
            </w:pPr>
            <w:r>
              <w:t xml:space="preserve">كود الصنف، اسم الصنف، الكمية المرتجعة، رقم الدفعة، سبب الإرجاع، اسم المورد.</w:t>
            </w:r>
          </w:p>
        </w:tc>
      </w:tr>
      <w:tr>
        <w:tc>
          <w:tcPr/>
          <w:p>
            <w:pPr>
              <w:pStyle w:val="Compact"/>
            </w:pPr>
            <w:r>
              <w:t xml:space="preserve">F-21-05</w:t>
            </w:r>
          </w:p>
        </w:tc>
        <w:tc>
          <w:tcPr/>
          <w:p>
            <w:pPr>
              <w:pStyle w:val="Compact"/>
            </w:pPr>
            <w:r>
              <w:t xml:space="preserve">إذن إضافة منتج تام</w:t>
            </w:r>
          </w:p>
        </w:tc>
        <w:tc>
          <w:tcPr/>
          <w:p>
            <w:pPr>
              <w:pStyle w:val="Compact"/>
            </w:pPr>
            <w:r>
              <w:t xml:space="preserve">أمين المخزن</w:t>
            </w:r>
          </w:p>
        </w:tc>
        <w:tc>
          <w:tcPr/>
          <w:p>
            <w:pPr>
              <w:pStyle w:val="Compact"/>
            </w:pPr>
            <w:r>
              <w:t xml:space="preserve">5 سنوات</w:t>
            </w:r>
          </w:p>
        </w:tc>
        <w:tc>
          <w:tcPr/>
          <w:p>
            <w:pPr>
              <w:pStyle w:val="Compact"/>
            </w:pPr>
            <w:r>
              <w:t xml:space="preserve">كود المنتج، اسم المنتج، الكمية المضافة، رقم الدفعة، تاريخ الإنتاج، تاريخ الانتهاء.</w:t>
            </w:r>
          </w:p>
        </w:tc>
      </w:tr>
      <w:tr>
        <w:tc>
          <w:tcPr/>
          <w:p>
            <w:pPr>
              <w:pStyle w:val="Compact"/>
            </w:pPr>
            <w:r>
              <w:t xml:space="preserve">F-21-06</w:t>
            </w:r>
          </w:p>
        </w:tc>
        <w:tc>
          <w:tcPr/>
          <w:p>
            <w:pPr>
              <w:pStyle w:val="Compact"/>
            </w:pPr>
            <w:r>
              <w:t xml:space="preserve">طلب صرف (مواد خام / تعبئة / تشغيل)</w:t>
            </w:r>
          </w:p>
        </w:tc>
        <w:tc>
          <w:tcPr/>
          <w:p>
            <w:pPr>
              <w:pStyle w:val="Compact"/>
            </w:pPr>
            <w:r>
              <w:t xml:space="preserve">الإدارة الطالبة / أمين المخزن</w:t>
            </w:r>
          </w:p>
        </w:tc>
        <w:tc>
          <w:tcPr/>
          <w:p>
            <w:pPr>
              <w:pStyle w:val="Compact"/>
            </w:pPr>
            <w:r>
              <w:t xml:space="preserve">5 سنوات</w:t>
            </w:r>
          </w:p>
        </w:tc>
        <w:tc>
          <w:tcPr/>
          <w:p>
            <w:pPr>
              <w:pStyle w:val="Compact"/>
            </w:pPr>
            <w:r>
              <w:t xml:space="preserve">كود الصنف، اسم الصنف، الكمية المطلوبة، الجهة الطالبة، تاريخ الطلب، توقيع الاعتماد.</w:t>
            </w:r>
          </w:p>
        </w:tc>
      </w:tr>
      <w:tr>
        <w:tc>
          <w:tcPr/>
          <w:p>
            <w:pPr>
              <w:pStyle w:val="Compact"/>
            </w:pPr>
            <w:r>
              <w:t xml:space="preserve">F-21-07</w:t>
            </w:r>
          </w:p>
        </w:tc>
        <w:tc>
          <w:tcPr/>
          <w:p>
            <w:pPr>
              <w:pStyle w:val="Compact"/>
            </w:pPr>
            <w:r>
              <w:t xml:space="preserve">إذن صرف منتج تام</w:t>
            </w:r>
          </w:p>
        </w:tc>
        <w:tc>
          <w:tcPr/>
          <w:p>
            <w:pPr>
              <w:pStyle w:val="Compact"/>
            </w:pPr>
            <w:r>
              <w:t xml:space="preserve">أمين المخزن</w:t>
            </w:r>
          </w:p>
        </w:tc>
        <w:tc>
          <w:tcPr/>
          <w:p>
            <w:pPr>
              <w:pStyle w:val="Compact"/>
            </w:pPr>
            <w:r>
              <w:t xml:space="preserve">5 سنوات</w:t>
            </w:r>
          </w:p>
        </w:tc>
        <w:tc>
          <w:tcPr/>
          <w:p>
            <w:pPr>
              <w:pStyle w:val="Compact"/>
            </w:pPr>
            <w:r>
              <w:t xml:space="preserve">كود المنتج، اسم المنتج، الكمية المصروفة، رقم الدفعة، العميل، تاريخ الصرف، رقم سيارة النقل.</w:t>
            </w:r>
          </w:p>
        </w:tc>
      </w:tr>
      <w:tr>
        <w:tc>
          <w:tcPr/>
          <w:p>
            <w:pPr>
              <w:pStyle w:val="Compact"/>
            </w:pPr>
            <w:r>
              <w:t xml:space="preserve">F-21-08</w:t>
            </w:r>
          </w:p>
        </w:tc>
        <w:tc>
          <w:tcPr/>
          <w:p>
            <w:pPr>
              <w:pStyle w:val="Compact"/>
            </w:pPr>
            <w:r>
              <w:t xml:space="preserve">إذن إرجاع منتج تام</w:t>
            </w:r>
          </w:p>
        </w:tc>
        <w:tc>
          <w:tcPr/>
          <w:p>
            <w:pPr>
              <w:pStyle w:val="Compact"/>
            </w:pPr>
            <w:r>
              <w:t xml:space="preserve">أمين المخزن</w:t>
            </w:r>
          </w:p>
        </w:tc>
        <w:tc>
          <w:tcPr/>
          <w:p>
            <w:pPr>
              <w:pStyle w:val="Compact"/>
            </w:pPr>
            <w:r>
              <w:t xml:space="preserve">5 سنوات</w:t>
            </w:r>
          </w:p>
        </w:tc>
        <w:tc>
          <w:tcPr/>
          <w:p>
            <w:pPr>
              <w:pStyle w:val="Compact"/>
            </w:pPr>
            <w:r>
              <w:t xml:space="preserve">كود المنتج، اسم المنتج، الكمية المرتجعة، رقم الدفعة، سبب الإرجاع، اسم العميل.</w:t>
            </w:r>
          </w:p>
        </w:tc>
      </w:tr>
      <w:tr>
        <w:tc>
          <w:tcPr/>
          <w:p>
            <w:pPr>
              <w:pStyle w:val="Compact"/>
            </w:pPr>
            <w:r>
              <w:t xml:space="preserve">F-21-09</w:t>
            </w:r>
          </w:p>
        </w:tc>
        <w:tc>
          <w:tcPr/>
          <w:p>
            <w:pPr>
              <w:pStyle w:val="Compact"/>
            </w:pPr>
            <w:r>
              <w:t xml:space="preserve">إذن تحويل داخلي</w:t>
            </w:r>
          </w:p>
        </w:tc>
        <w:tc>
          <w:tcPr/>
          <w:p>
            <w:pPr>
              <w:pStyle w:val="Compact"/>
            </w:pPr>
            <w:r>
              <w:t xml:space="preserve">أمين المخزن</w:t>
            </w:r>
          </w:p>
        </w:tc>
        <w:tc>
          <w:tcPr/>
          <w:p>
            <w:pPr>
              <w:pStyle w:val="Compact"/>
            </w:pPr>
            <w:r>
              <w:t xml:space="preserve">5 سنوات</w:t>
            </w:r>
          </w:p>
        </w:tc>
        <w:tc>
          <w:tcPr/>
          <w:p>
            <w:pPr>
              <w:pStyle w:val="Compact"/>
            </w:pPr>
            <w:r>
              <w:t xml:space="preserve">كود الصنف، اسم الصنف، الكمية، من مخزن إلى مخزن، الطرفين.</w:t>
            </w:r>
          </w:p>
        </w:tc>
      </w:tr>
      <w:tr>
        <w:tc>
          <w:tcPr/>
          <w:p>
            <w:pPr>
              <w:pStyle w:val="Compact"/>
            </w:pPr>
            <w:r>
              <w:t xml:space="preserve">F-21-10</w:t>
            </w:r>
          </w:p>
        </w:tc>
        <w:tc>
          <w:tcPr/>
          <w:p>
            <w:pPr>
              <w:pStyle w:val="Compact"/>
            </w:pPr>
            <w:r>
              <w:t xml:space="preserve">إذن إضافة قطع غيار ومهمات</w:t>
            </w:r>
          </w:p>
        </w:tc>
        <w:tc>
          <w:tcPr/>
          <w:p>
            <w:pPr>
              <w:pStyle w:val="Compact"/>
            </w:pPr>
            <w:r>
              <w:t xml:space="preserve">أمين المخزن</w:t>
            </w:r>
          </w:p>
        </w:tc>
        <w:tc>
          <w:tcPr/>
          <w:p>
            <w:pPr>
              <w:pStyle w:val="Compact"/>
            </w:pPr>
            <w:r>
              <w:t xml:space="preserve">5 سنوات</w:t>
            </w:r>
          </w:p>
        </w:tc>
        <w:tc>
          <w:tcPr/>
          <w:p>
            <w:pPr>
              <w:pStyle w:val="Compact"/>
            </w:pPr>
            <w:r>
              <w:t xml:space="preserve">كود الصنف، اسم الصنف، الكمية، المورد، تاريخ الإضافة.</w:t>
            </w:r>
          </w:p>
        </w:tc>
      </w:tr>
      <w:tr>
        <w:tc>
          <w:tcPr/>
          <w:p>
            <w:pPr>
              <w:pStyle w:val="Compact"/>
            </w:pPr>
            <w:r>
              <w:t xml:space="preserve">F-21-11</w:t>
            </w:r>
          </w:p>
        </w:tc>
        <w:tc>
          <w:tcPr/>
          <w:p>
            <w:pPr>
              <w:pStyle w:val="Compact"/>
            </w:pPr>
            <w:r>
              <w:t xml:space="preserve">طلب تحميل (للمنتج التام)</w:t>
            </w:r>
          </w:p>
        </w:tc>
        <w:tc>
          <w:tcPr/>
          <w:p>
            <w:pPr>
              <w:pStyle w:val="Compact"/>
            </w:pPr>
            <w:r>
              <w:t xml:space="preserve">أمين المخزن</w:t>
            </w:r>
          </w:p>
        </w:tc>
        <w:tc>
          <w:tcPr/>
          <w:p>
            <w:pPr>
              <w:pStyle w:val="Compact"/>
            </w:pPr>
            <w:r>
              <w:t xml:space="preserve">5 سنوات</w:t>
            </w:r>
          </w:p>
        </w:tc>
        <w:tc>
          <w:tcPr/>
          <w:p>
            <w:pPr>
              <w:pStyle w:val="Compact"/>
            </w:pPr>
            <w:r>
              <w:t xml:space="preserve">كود المنتج، اسم المنتج، الكمية، العميل، تاريخ الشحن، رقم سيارة النقل، السائق.</w:t>
            </w:r>
          </w:p>
        </w:tc>
      </w:tr>
      <w:tr>
        <w:tc>
          <w:tcPr/>
          <w:p>
            <w:pPr>
              <w:pStyle w:val="Compact"/>
            </w:pPr>
            <w:r>
              <w:t xml:space="preserve">F-21-12</w:t>
            </w:r>
          </w:p>
        </w:tc>
        <w:tc>
          <w:tcPr/>
          <w:p>
            <w:pPr>
              <w:pStyle w:val="Compact"/>
            </w:pPr>
            <w:r>
              <w:t xml:space="preserve">إشعار مرتجع (من عميل)</w:t>
            </w:r>
          </w:p>
        </w:tc>
        <w:tc>
          <w:tcPr/>
          <w:p>
            <w:pPr>
              <w:pStyle w:val="Compact"/>
            </w:pPr>
            <w:r>
              <w:t xml:space="preserve">أمين المخزن</w:t>
            </w:r>
          </w:p>
        </w:tc>
        <w:tc>
          <w:tcPr/>
          <w:p>
            <w:pPr>
              <w:pStyle w:val="Compact"/>
            </w:pPr>
            <w:r>
              <w:t xml:space="preserve">5 سنوات</w:t>
            </w:r>
          </w:p>
        </w:tc>
        <w:tc>
          <w:tcPr/>
          <w:p>
            <w:pPr>
              <w:pStyle w:val="Compact"/>
            </w:pPr>
            <w:r>
              <w:t xml:space="preserve">بيانات المنتج المرتجع، الكمية، سبب الارجاع، رقم الفاتورة الأصلية.</w:t>
            </w:r>
          </w:p>
        </w:tc>
      </w:tr>
      <w:tr>
        <w:tc>
          <w:tcPr/>
          <w:p>
            <w:pPr>
              <w:pStyle w:val="Compact"/>
            </w:pPr>
            <w:r>
              <w:t xml:space="preserve">F-21-13</w:t>
            </w:r>
          </w:p>
        </w:tc>
        <w:tc>
          <w:tcPr/>
          <w:p>
            <w:pPr>
              <w:pStyle w:val="Compact"/>
            </w:pPr>
            <w:r>
              <w:t xml:space="preserve">إذن إرجاع خامات ومواد تعبئة وتغليف للمخزن (من الإنتاج)</w:t>
            </w:r>
          </w:p>
        </w:tc>
        <w:tc>
          <w:tcPr/>
          <w:p>
            <w:pPr>
              <w:pStyle w:val="Compact"/>
            </w:pPr>
            <w:r>
              <w:t xml:space="preserve">أمين المخزن</w:t>
            </w:r>
          </w:p>
        </w:tc>
        <w:tc>
          <w:tcPr/>
          <w:p>
            <w:pPr>
              <w:pStyle w:val="Compact"/>
            </w:pPr>
            <w:r>
              <w:t xml:space="preserve">5 سنوات</w:t>
            </w:r>
          </w:p>
        </w:tc>
        <w:tc>
          <w:tcPr/>
          <w:p>
            <w:pPr>
              <w:pStyle w:val="Compact"/>
            </w:pPr>
            <w:r>
              <w:t xml:space="preserve">كود الصنف، اسم الصنف، الكمية المرتجعة، رقم الدفعة، سبب الإرجاع، من قسم الإنتاج.</w:t>
            </w:r>
          </w:p>
        </w:tc>
      </w:tr>
      <w:tr>
        <w:tc>
          <w:tcPr/>
          <w:p>
            <w:pPr>
              <w:pStyle w:val="Compact"/>
            </w:pPr>
            <w:r>
              <w:t xml:space="preserve">F-21-14</w:t>
            </w:r>
          </w:p>
        </w:tc>
        <w:tc>
          <w:tcPr/>
          <w:p>
            <w:pPr>
              <w:pStyle w:val="Compact"/>
            </w:pPr>
            <w:r>
              <w:t xml:space="preserve">محضر إعدام</w:t>
            </w:r>
          </w:p>
        </w:tc>
        <w:tc>
          <w:tcPr/>
          <w:p>
            <w:pPr>
              <w:pStyle w:val="Compact"/>
            </w:pPr>
            <w:r>
              <w:t xml:space="preserve">مدير الجودة / أمين المخزن</w:t>
            </w:r>
          </w:p>
        </w:tc>
        <w:tc>
          <w:tcPr/>
          <w:p>
            <w:pPr>
              <w:pStyle w:val="Compact"/>
            </w:pPr>
            <w:r>
              <w:t xml:space="preserve">5 سنوات</w:t>
            </w:r>
          </w:p>
        </w:tc>
        <w:tc>
          <w:tcPr/>
          <w:p>
            <w:pPr>
              <w:pStyle w:val="Compact"/>
            </w:pPr>
            <w:r>
              <w:t xml:space="preserve">كود الصنف، اسم الصنف، الكمية، رقم الدفعة، سبب الإعدام، تاريخ الإعدام، شهود الإعدام.</w:t>
            </w:r>
          </w:p>
        </w:tc>
      </w:tr>
      <w:tr>
        <w:tc>
          <w:tcPr/>
          <w:p>
            <w:pPr>
              <w:pStyle w:val="Compact"/>
            </w:pPr>
            <w:r>
              <w:t xml:space="preserve">F-21-XX</w:t>
            </w:r>
          </w:p>
        </w:tc>
        <w:tc>
          <w:tcPr/>
          <w:p>
            <w:pPr>
              <w:pStyle w:val="Compact"/>
            </w:pPr>
            <w:r>
              <w:t xml:space="preserve">محضر الفحص والاستلام</w:t>
            </w:r>
          </w:p>
        </w:tc>
        <w:tc>
          <w:tcPr/>
          <w:p>
            <w:pPr>
              <w:pStyle w:val="Compact"/>
            </w:pPr>
            <w:r>
              <w:t xml:space="preserve">أمين المخزن/مدير الجودة</w:t>
            </w:r>
          </w:p>
        </w:tc>
        <w:tc>
          <w:tcPr/>
          <w:p>
            <w:pPr>
              <w:pStyle w:val="Compact"/>
            </w:pPr>
            <w:r>
              <w:t xml:space="preserve">5 سنوات</w:t>
            </w:r>
          </w:p>
        </w:tc>
        <w:tc>
          <w:tcPr/>
          <w:p>
            <w:pPr>
              <w:pStyle w:val="Compact"/>
            </w:pPr>
            <w:r>
              <w:t xml:space="preserve">بيانات الصنف، الكمية الموردة، بيانات الفحص، نتيجة الفحص، توقيعات لجنة الفحص.</w:t>
            </w:r>
          </w:p>
        </w:tc>
      </w:tr>
      <w:tr>
        <w:tc>
          <w:tcPr/>
          <w:p>
            <w:pPr>
              <w:pStyle w:val="Compact"/>
            </w:pPr>
            <w:r>
              <w:t xml:space="preserve">F-21-YY</w:t>
            </w:r>
          </w:p>
        </w:tc>
        <w:tc>
          <w:tcPr/>
          <w:p>
            <w:pPr>
              <w:pStyle w:val="Compact"/>
            </w:pPr>
            <w:r>
              <w:t xml:space="preserve">بطاقة عزل / عدم مطابقة</w:t>
            </w:r>
          </w:p>
        </w:tc>
        <w:tc>
          <w:tcPr/>
          <w:p>
            <w:pPr>
              <w:pStyle w:val="Compact"/>
            </w:pPr>
            <w:r>
              <w:t xml:space="preserve">أمين المخزن</w:t>
            </w:r>
          </w:p>
        </w:tc>
        <w:tc>
          <w:tcPr/>
          <w:p>
            <w:pPr>
              <w:pStyle w:val="Compact"/>
            </w:pPr>
            <w:r>
              <w:t xml:space="preserve">5 سنوات</w:t>
            </w:r>
          </w:p>
        </w:tc>
        <w:tc>
          <w:tcPr/>
          <w:p>
            <w:pPr>
              <w:pStyle w:val="Compact"/>
            </w:pPr>
            <w:r>
              <w:t xml:space="preserve">كود الصنف، اسم الصنف، الكمية، رقم الدفعة، سبب عدم المطابقة، تاريخ العزل، من المسؤول.</w:t>
            </w:r>
          </w:p>
        </w:tc>
      </w:tr>
      <w:tr>
        <w:tc>
          <w:tcPr/>
          <w:p>
            <w:pPr>
              <w:pStyle w:val="Compact"/>
            </w:pPr>
            <w:r>
              <w:t xml:space="preserve">F-21-ZZ</w:t>
            </w:r>
          </w:p>
        </w:tc>
        <w:tc>
          <w:tcPr/>
          <w:p>
            <w:pPr>
              <w:pStyle w:val="Compact"/>
            </w:pPr>
            <w:r>
              <w:t xml:space="preserve">محضر جرد</w:t>
            </w:r>
          </w:p>
        </w:tc>
        <w:tc>
          <w:tcPr/>
          <w:p>
            <w:pPr>
              <w:pStyle w:val="Compact"/>
            </w:pPr>
            <w:r>
              <w:t xml:space="preserve">أمين المخزن/مدير المخازن</w:t>
            </w:r>
          </w:p>
        </w:tc>
        <w:tc>
          <w:tcPr/>
          <w:p>
            <w:pPr>
              <w:pStyle w:val="Compact"/>
            </w:pPr>
            <w:r>
              <w:t xml:space="preserve">5 سنوات</w:t>
            </w:r>
          </w:p>
        </w:tc>
        <w:tc>
          <w:tcPr/>
          <w:p>
            <w:pPr>
              <w:pStyle w:val="Compact"/>
            </w:pPr>
            <w:r>
              <w:t xml:space="preserve">تاريخ الجرد، كود الصنف، اسم الصنف، الرصيد الدفتري، الرصيد الفعلي، الفرق، تحليل الفروقات.</w:t>
            </w:r>
          </w:p>
        </w:tc>
      </w:tr>
      <w:tr>
        <w:tc>
          <w:tcPr/>
          <w:p>
            <w:pPr>
              <w:pStyle w:val="Compact"/>
            </w:pPr>
            <w:r>
              <w:t xml:space="preserve">F-QA-0X</w:t>
            </w:r>
          </w:p>
        </w:tc>
        <w:tc>
          <w:tcPr/>
          <w:p>
            <w:pPr>
              <w:pStyle w:val="Compact"/>
            </w:pPr>
            <w:r>
              <w:t xml:space="preserve">نموذج عدم مطابقة المورد</w:t>
            </w:r>
          </w:p>
        </w:tc>
        <w:tc>
          <w:tcPr/>
          <w:p>
            <w:pPr>
              <w:pStyle w:val="Compact"/>
            </w:pPr>
            <w:r>
              <w:t xml:space="preserve">مدير الجودة</w:t>
            </w:r>
          </w:p>
        </w:tc>
        <w:tc>
          <w:tcPr/>
          <w:p>
            <w:pPr>
              <w:pStyle w:val="Compact"/>
            </w:pPr>
            <w:r>
              <w:t xml:space="preserve">5 سنوات</w:t>
            </w:r>
          </w:p>
        </w:tc>
        <w:tc>
          <w:tcPr/>
          <w:p>
            <w:pPr>
              <w:pStyle w:val="Compact"/>
            </w:pPr>
            <w:r>
              <w:t xml:space="preserve">تفاصيل المورد، تاريخ التوريد، نوع المادة، تفاصيل عدم المطابقة.</w:t>
            </w:r>
          </w:p>
        </w:tc>
      </w:tr>
      <w:tr>
        <w:tc>
          <w:tcPr/>
          <w:p>
            <w:pPr>
              <w:pStyle w:val="Compact"/>
            </w:pPr>
            <w:r>
              <w:t xml:space="preserve">F-MM-XX</w:t>
            </w:r>
          </w:p>
        </w:tc>
        <w:tc>
          <w:tcPr/>
          <w:p>
            <w:pPr>
              <w:pStyle w:val="Compact"/>
            </w:pPr>
            <w:r>
              <w:t xml:space="preserve">سجل مراقبة درجة الحرارة والرطوبة للمخازن</w:t>
            </w:r>
          </w:p>
        </w:tc>
        <w:tc>
          <w:tcPr/>
          <w:p>
            <w:pPr>
              <w:pStyle w:val="Compact"/>
            </w:pPr>
            <w:r>
              <w:t xml:space="preserve">أمين المخزن</w:t>
            </w:r>
          </w:p>
        </w:tc>
        <w:tc>
          <w:tcPr/>
          <w:p>
            <w:pPr>
              <w:pStyle w:val="Compact"/>
            </w:pPr>
            <w:r>
              <w:t xml:space="preserve">5 سنوات</w:t>
            </w:r>
          </w:p>
        </w:tc>
        <w:tc>
          <w:tcPr/>
          <w:p>
            <w:pPr>
              <w:pStyle w:val="Compact"/>
            </w:pPr>
            <w:r>
              <w:t xml:space="preserve">تاريخ، وقت، درجة الحرارة، الرطوبة، توقيع المسؤول.</w:t>
            </w:r>
          </w:p>
        </w:tc>
      </w:tr>
      <w:tr>
        <w:tc>
          <w:tcPr/>
          <w:p>
            <w:pPr>
              <w:pStyle w:val="Compact"/>
            </w:pPr>
            <w:r>
              <w:t xml:space="preserve">F-PM-XX</w:t>
            </w:r>
          </w:p>
        </w:tc>
        <w:tc>
          <w:tcPr/>
          <w:p>
            <w:pPr>
              <w:pStyle w:val="Compact"/>
            </w:pPr>
            <w:r>
              <w:t xml:space="preserve">سجل برنامج مكافحة الآفات</w:t>
            </w:r>
          </w:p>
        </w:tc>
        <w:tc>
          <w:tcPr/>
          <w:p>
            <w:pPr>
              <w:pStyle w:val="Compact"/>
            </w:pPr>
            <w:r>
              <w:t xml:space="preserve">مسؤول مكافحة الآفات</w:t>
            </w:r>
          </w:p>
        </w:tc>
        <w:tc>
          <w:tcPr/>
          <w:p>
            <w:pPr>
              <w:pStyle w:val="Compact"/>
            </w:pPr>
            <w:r>
              <w:t xml:space="preserve">5 سنوات</w:t>
            </w:r>
          </w:p>
        </w:tc>
        <w:tc>
          <w:tcPr/>
          <w:p>
            <w:pPr>
              <w:pStyle w:val="Compact"/>
            </w:pPr>
            <w:r>
              <w:t xml:space="preserve">تاريخ، نوع العلاج، المواقع، مشاهدات الآفات، توقيع المسؤول.</w:t>
            </w:r>
          </w:p>
        </w:tc>
      </w:tr>
    </w:tbl>
    <w:bookmarkEnd w:id="18"/>
    <w:bookmarkStart w:id="19" w:name="معايير-قياس-فاعلية-الأداء-kpis"/>
    <w:p>
      <w:pPr>
        <w:pStyle w:val="Heading3"/>
      </w:pPr>
      <w:r>
        <w:t xml:space="preserve">8. معايير قياس فاعلية الأداء (KPIs)</w:t>
      </w:r>
    </w:p>
    <w:p>
      <w:pPr>
        <w:pStyle w:val="Compact"/>
        <w:numPr>
          <w:ilvl w:val="0"/>
          <w:numId w:val="1003"/>
        </w:numPr>
      </w:pPr>
      <w:r>
        <w:t xml:space="preserve">نسبة الامتثال لمتطلبات التخزين (درجة حرارة/رطوبة، نظافة، فصل) في مراجعات الجودة الداخلية: 100%. (KPI: عدد المخالفات المكتشفة).</w:t>
      </w:r>
    </w:p>
    <w:p>
      <w:pPr>
        <w:pStyle w:val="Compact"/>
        <w:numPr>
          <w:ilvl w:val="0"/>
          <w:numId w:val="1003"/>
        </w:numPr>
      </w:pPr>
      <w:r>
        <w:t xml:space="preserve">نسبة دقة الجرد للمخزون (صفر فروقات): 98%. (KPI: نسبة الفروقات في الجرد).</w:t>
      </w:r>
    </w:p>
    <w:p>
      <w:pPr>
        <w:pStyle w:val="Compact"/>
        <w:numPr>
          <w:ilvl w:val="0"/>
          <w:numId w:val="1003"/>
        </w:numPr>
      </w:pPr>
      <w:r>
        <w:t xml:space="preserve">نسبة المواد التي تم صرفها وفقاً لمبدأ FIFO/FEFO: 100%. (KPI: عدد حالات صرف مواد قديمة بعد مواد جديدة).</w:t>
      </w:r>
    </w:p>
    <w:p>
      <w:pPr>
        <w:pStyle w:val="Compact"/>
        <w:numPr>
          <w:ilvl w:val="0"/>
          <w:numId w:val="1003"/>
        </w:numPr>
      </w:pPr>
      <w:r>
        <w:t xml:space="preserve">نسبة الشكاوى المتعلقة بسوء التخزين أو تلف المنتجات في المخازن: 0%.</w:t>
      </w:r>
    </w:p>
    <w:p>
      <w:pPr>
        <w:pStyle w:val="Compact"/>
        <w:numPr>
          <w:ilvl w:val="0"/>
          <w:numId w:val="1003"/>
        </w:numPr>
      </w:pPr>
      <w:r>
        <w:t xml:space="preserve">نسبة الالتزام بتطبيق إجراءات الاستلام والفحص: 100%. (KPI: عدد حالات استلام مواد بدون فحص أو غير مطابقة).</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21 - FSP-21</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2026-07-04T12:55:15Z</dcterms:created>
  <dcterms:modified xsi:type="dcterms:W3CDTF">2026-07-04T12:55:15Z</dcterms:modified>
</cp:coreProperties>
</file>

<file path=docProps/custom.xml><?xml version="1.0" encoding="utf-8"?>
<Properties xmlns="http://schemas.openxmlformats.org/officeDocument/2006/custom-properties" xmlns:vt="http://schemas.openxmlformats.org/officeDocument/2006/docPropsVTypes"/>
</file>